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106</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301399</w:t>
      </w:r>
    </w:p>
    <w:p>
      <w:pPr>
        <w:tabs>
          <w:tab w:val="left" w:pos="3106"/>
          <w:tab w:val="center" w:pos="4536"/>
          <w:tab w:val="right" w:pos="9072"/>
        </w:tabs>
        <w:jc w:val="both"/>
        <w:rPr>
          <w:rFonts w:ascii="Arial" w:hAnsi="Arial" w:eastAsia="宋体"/>
          <w:b/>
          <w:color w:val="auto"/>
          <w:sz w:val="24"/>
          <w:lang w:val="en-GB" w:eastAsia="zh-CN"/>
        </w:rPr>
      </w:pPr>
      <w:r>
        <w:rPr>
          <w:rFonts w:hint="eastAsia" w:ascii="Arial" w:hAnsi="Arial" w:eastAsia="宋体" w:cs="Arial"/>
          <w:b/>
          <w:sz w:val="24"/>
          <w:szCs w:val="24"/>
          <w:highlight w:val="none"/>
          <w:lang w:val="en-US" w:eastAsia="zh-CN"/>
        </w:rPr>
        <w:t>Athens</w:t>
      </w:r>
      <w:r>
        <w:rPr>
          <w:rFonts w:hint="eastAsia" w:ascii="Arial" w:hAnsi="Arial" w:eastAsia="MS Mincho" w:cs="Arial"/>
          <w:b/>
          <w:sz w:val="24"/>
          <w:szCs w:val="24"/>
          <w:highlight w:val="none"/>
          <w:lang w:eastAsia="en-US"/>
        </w:rPr>
        <w:t xml:space="preserve">, </w:t>
      </w:r>
      <w:r>
        <w:rPr>
          <w:rFonts w:hint="eastAsia" w:ascii="Arial" w:hAnsi="Arial" w:eastAsia="宋体" w:cs="Arial"/>
          <w:b/>
          <w:sz w:val="24"/>
          <w:szCs w:val="24"/>
          <w:highlight w:val="none"/>
          <w:lang w:val="en-US" w:eastAsia="zh-CN"/>
        </w:rPr>
        <w:t>G</w:t>
      </w:r>
      <w:r>
        <w:rPr>
          <w:rFonts w:hint="eastAsia" w:ascii="Arial" w:hAnsi="Arial" w:eastAsia="MS Mincho" w:cs="Arial"/>
          <w:b/>
          <w:sz w:val="24"/>
          <w:szCs w:val="24"/>
          <w:highlight w:val="none"/>
          <w:lang w:eastAsia="en-US"/>
        </w:rPr>
        <w:t>r</w:t>
      </w:r>
      <w:r>
        <w:rPr>
          <w:rFonts w:hint="eastAsia" w:ascii="Arial" w:hAnsi="Arial" w:eastAsia="宋体" w:cs="Arial"/>
          <w:b/>
          <w:sz w:val="24"/>
          <w:szCs w:val="24"/>
          <w:highlight w:val="none"/>
          <w:lang w:val="en-US" w:eastAsia="zh-CN"/>
        </w:rPr>
        <w:t>ee</w:t>
      </w:r>
      <w:r>
        <w:rPr>
          <w:rFonts w:hint="eastAsia" w:ascii="Arial" w:hAnsi="Arial" w:eastAsia="MS Mincho" w:cs="Arial"/>
          <w:b/>
          <w:sz w:val="24"/>
          <w:szCs w:val="24"/>
          <w:highlight w:val="none"/>
          <w:lang w:eastAsia="en-US"/>
        </w:rPr>
        <w:t>ce</w:t>
      </w:r>
      <w:r>
        <w:rPr>
          <w:rFonts w:ascii="Arial" w:hAnsi="Arial" w:eastAsia="宋体"/>
          <w:b/>
          <w:color w:val="auto"/>
          <w:sz w:val="24"/>
          <w:lang w:eastAsia="zh-CN"/>
        </w:rPr>
        <w:t xml:space="preserve">, </w:t>
      </w:r>
      <w:r>
        <w:rPr>
          <w:rFonts w:hint="eastAsia" w:ascii="Arial" w:hAnsi="Arial" w:eastAsia="宋体" w:cs="Arial"/>
          <w:b/>
          <w:bCs/>
          <w:sz w:val="24"/>
          <w:szCs w:val="24"/>
          <w:lang w:val="en-US" w:eastAsia="zh-CN"/>
        </w:rPr>
        <w:t xml:space="preserve">27 Feb </w:t>
      </w:r>
      <w:r>
        <w:rPr>
          <w:rFonts w:ascii="Arial" w:hAnsi="Arial" w:cs="Arial"/>
          <w:b/>
          <w:bCs/>
          <w:sz w:val="24"/>
          <w:szCs w:val="24"/>
        </w:rPr>
        <w:t>–</w:t>
      </w:r>
      <w:r>
        <w:rPr>
          <w:rFonts w:hint="eastAsia" w:ascii="Arial" w:hAnsi="Arial" w:eastAsia="宋体" w:cs="Arial"/>
          <w:b/>
          <w:bCs/>
          <w:sz w:val="24"/>
          <w:szCs w:val="24"/>
          <w:lang w:val="en-US" w:eastAsia="zh-CN"/>
        </w:rPr>
        <w:t xml:space="preserve"> 3</w:t>
      </w:r>
      <w:r>
        <w:rPr>
          <w:rFonts w:ascii="Arial" w:hAnsi="Arial" w:cs="Arial"/>
          <w:b/>
          <w:bCs/>
          <w:sz w:val="24"/>
          <w:szCs w:val="24"/>
        </w:rPr>
        <w:t xml:space="preserve"> </w:t>
      </w:r>
      <w:r>
        <w:rPr>
          <w:rFonts w:hint="eastAsia" w:ascii="Arial" w:hAnsi="Arial" w:eastAsia="宋体" w:cs="Arial"/>
          <w:b/>
          <w:bCs/>
          <w:sz w:val="24"/>
          <w:szCs w:val="24"/>
          <w:lang w:val="en-US" w:eastAsia="zh-CN"/>
        </w:rPr>
        <w:t>Mar</w:t>
      </w:r>
      <w:r>
        <w:rPr>
          <w:rFonts w:ascii="Arial" w:hAnsi="Arial" w:eastAsia="宋体"/>
          <w:b/>
          <w:color w:val="auto"/>
          <w:sz w:val="24"/>
          <w:lang w:eastAsia="zh-CN"/>
        </w:rPr>
        <w:t>, 202</w:t>
      </w:r>
      <w:r>
        <w:rPr>
          <w:rFonts w:hint="eastAsia" w:ascii="Arial" w:hAnsi="Arial" w:eastAsia="宋体"/>
          <w:b/>
          <w:color w:val="auto"/>
          <w:sz w:val="24"/>
          <w:lang w:val="en-US" w:eastAsia="zh-CN"/>
        </w:rPr>
        <w:t>3</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4"/>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measurement requirements for air-to-ground network</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9.13.4.5</w:t>
      </w:r>
      <w:bookmarkStart w:id="1" w:name="_GoBack"/>
      <w:bookmarkEnd w:id="1"/>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4"/>
        <w:tabs>
          <w:tab w:val="left" w:pos="226"/>
          <w:tab w:val="left" w:pos="284"/>
          <w:tab w:val="left" w:pos="5103"/>
        </w:tabs>
        <w:snapToGrid w:val="0"/>
        <w:spacing w:before="156" w:beforeLines="50"/>
        <w:rPr>
          <w:rFonts w:hint="default" w:eastAsia="宋体"/>
          <w:color w:val="auto"/>
          <w:sz w:val="20"/>
          <w:szCs w:val="20"/>
          <w:lang w:val="en-US" w:eastAsia="zh-CN"/>
        </w:rPr>
      </w:pPr>
      <w:r>
        <w:rPr>
          <w:rFonts w:hint="default" w:eastAsia="宋体"/>
          <w:color w:val="auto"/>
          <w:sz w:val="20"/>
          <w:szCs w:val="20"/>
          <w:lang w:val="en-US" w:eastAsia="zh-CN"/>
        </w:rPr>
        <w:t xml:space="preserve">In </w:t>
      </w:r>
      <w:r>
        <w:rPr>
          <w:rFonts w:hint="eastAsia" w:eastAsia="宋体"/>
          <w:color w:val="auto"/>
          <w:sz w:val="20"/>
          <w:szCs w:val="20"/>
          <w:lang w:val="en-US" w:eastAsia="zh-CN"/>
        </w:rPr>
        <w:t xml:space="preserve">RAN plenary 96 meeting, a revised WID[1] for Rel-18 was approved </w:t>
      </w:r>
      <w:r>
        <w:rPr>
          <w:rFonts w:hint="eastAsia"/>
          <w:lang w:val="en-US" w:eastAsia="zh-CN"/>
        </w:rPr>
        <w:t>to study the air-to-ground for NR. The objective of this WID is as follows.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rPr>
                <w:bCs/>
                <w:lang w:eastAsia="zh-CN"/>
              </w:rPr>
            </w:pPr>
            <w:r>
              <w:rPr>
                <w:rFonts w:hint="eastAsia"/>
                <w:bCs/>
                <w:lang w:eastAsia="zh-CN"/>
              </w:rPr>
              <w:t>T</w:t>
            </w:r>
            <w:r>
              <w:rPr>
                <w:bCs/>
                <w:lang w:eastAsia="zh-CN"/>
              </w:rPr>
              <w:t>he core part of this work item includes</w:t>
            </w:r>
          </w:p>
          <w:p>
            <w:pPr>
              <w:widowControl w:val="0"/>
              <w:numPr>
                <w:ilvl w:val="0"/>
                <w:numId w:val="4"/>
              </w:numPr>
              <w:overflowPunct/>
              <w:autoSpaceDE/>
              <w:autoSpaceDN/>
              <w:adjustRightInd/>
              <w:spacing w:after="0"/>
              <w:jc w:val="both"/>
              <w:textAlignment w:val="auto"/>
              <w:rPr>
                <w:kern w:val="2"/>
                <w:lang w:val="en-US" w:eastAsia="zh-CN"/>
              </w:rPr>
            </w:pPr>
            <w:r>
              <w:rPr>
                <w:kern w:val="2"/>
                <w:lang w:val="en-US" w:eastAsia="zh-CN"/>
              </w:rPr>
              <w:t xml:space="preserve">Specify features to core specifications </w:t>
            </w:r>
            <w:r>
              <w:rPr>
                <w:rFonts w:hint="eastAsia"/>
                <w:kern w:val="2"/>
                <w:lang w:val="en-US" w:eastAsia="zh-CN"/>
              </w:rPr>
              <w:t xml:space="preserve">for ATG BS and UE </w:t>
            </w:r>
            <w:r>
              <w:rPr>
                <w:kern w:val="2"/>
                <w:lang w:val="en-US" w:eastAsia="zh-CN"/>
              </w:rPr>
              <w:t>[RAN4]</w:t>
            </w:r>
          </w:p>
          <w:p>
            <w:pPr>
              <w:widowControl w:val="0"/>
              <w:numPr>
                <w:ilvl w:val="1"/>
                <w:numId w:val="4"/>
              </w:numPr>
              <w:overflowPunct/>
              <w:autoSpaceDE/>
              <w:autoSpaceDN/>
              <w:adjustRightInd/>
              <w:spacing w:after="0"/>
              <w:jc w:val="both"/>
              <w:textAlignment w:val="auto"/>
              <w:rPr>
                <w:kern w:val="2"/>
                <w:lang w:val="en-US" w:eastAsia="zh-CN"/>
              </w:rPr>
            </w:pPr>
            <w:r>
              <w:rPr>
                <w:kern w:val="2"/>
                <w:lang w:val="en-US" w:eastAsia="zh-CN"/>
              </w:rPr>
              <w:t xml:space="preserve">Scenario: </w:t>
            </w:r>
          </w:p>
          <w:p>
            <w:pPr>
              <w:widowControl w:val="0"/>
              <w:numPr>
                <w:ilvl w:val="2"/>
                <w:numId w:val="4"/>
              </w:numPr>
              <w:overflowPunct/>
              <w:autoSpaceDE/>
              <w:autoSpaceDN/>
              <w:adjustRightInd/>
              <w:spacing w:after="0"/>
              <w:jc w:val="both"/>
              <w:textAlignment w:val="auto"/>
              <w:rPr>
                <w:kern w:val="2"/>
                <w:lang w:val="en-US" w:eastAsia="zh-CN"/>
              </w:rPr>
            </w:pPr>
            <w:r>
              <w:rPr>
                <w:kern w:val="2"/>
                <w:lang w:val="en-US" w:eastAsia="zh-CN"/>
              </w:rPr>
              <w:t>BS on the ground, and the CPE type of UE mounted in the aircraft</w:t>
            </w:r>
          </w:p>
          <w:p>
            <w:pPr>
              <w:widowControl w:val="0"/>
              <w:numPr>
                <w:ilvl w:val="2"/>
                <w:numId w:val="4"/>
              </w:numPr>
              <w:overflowPunct/>
              <w:autoSpaceDE/>
              <w:autoSpaceDN/>
              <w:adjustRightInd/>
              <w:spacing w:after="0"/>
              <w:jc w:val="both"/>
              <w:textAlignment w:val="auto"/>
              <w:rPr>
                <w:rFonts w:hint="eastAsia"/>
                <w:kern w:val="2"/>
                <w:lang w:val="en-US" w:eastAsia="zh-CN"/>
              </w:rPr>
            </w:pPr>
            <w:r>
              <w:rPr>
                <w:kern w:val="2"/>
                <w:lang w:val="en-US" w:eastAsia="zh-CN"/>
              </w:rPr>
              <w:t>A direct radio link between BS on the ground and CPE type of UE mounted in the aircraft</w:t>
            </w:r>
          </w:p>
          <w:p>
            <w:pPr>
              <w:widowControl w:val="0"/>
              <w:numPr>
                <w:ilvl w:val="2"/>
                <w:numId w:val="4"/>
              </w:numPr>
              <w:overflowPunct/>
              <w:autoSpaceDE/>
              <w:autoSpaceDN/>
              <w:adjustRightInd/>
              <w:spacing w:after="0"/>
              <w:jc w:val="both"/>
              <w:textAlignment w:val="auto"/>
              <w:rPr>
                <w:kern w:val="2"/>
                <w:lang w:val="en-US" w:eastAsia="zh-CN"/>
              </w:rPr>
            </w:pPr>
            <w:r>
              <w:rPr>
                <w:kern w:val="2"/>
                <w:lang w:val="en-US" w:eastAsia="zh-CN"/>
              </w:rPr>
              <w:t>Note: The deployment characteristics described in</w:t>
            </w:r>
            <w:r>
              <w:rPr>
                <w:rFonts w:hint="eastAsia"/>
                <w:kern w:val="2"/>
                <w:lang w:val="en-US" w:eastAsia="zh-CN"/>
              </w:rPr>
              <w:t xml:space="preserve"> the</w:t>
            </w:r>
            <w:r>
              <w:rPr>
                <w:kern w:val="2"/>
                <w:lang w:val="en-US" w:eastAsia="zh-CN"/>
              </w:rPr>
              <w:t xml:space="preserve"> justification </w:t>
            </w:r>
            <w:r>
              <w:rPr>
                <w:rFonts w:hint="eastAsia"/>
                <w:kern w:val="2"/>
                <w:lang w:val="en-US" w:eastAsia="zh-CN"/>
              </w:rPr>
              <w:t>section shall be taken as a basis for the technical discussion</w:t>
            </w:r>
            <w:r>
              <w:rPr>
                <w:kern w:val="2"/>
                <w:lang w:val="en-US" w:eastAsia="zh-CN"/>
              </w:rPr>
              <w:t>.</w:t>
            </w:r>
          </w:p>
          <w:p>
            <w:pPr>
              <w:widowControl w:val="0"/>
              <w:numPr>
                <w:ilvl w:val="1"/>
                <w:numId w:val="4"/>
              </w:numPr>
              <w:overflowPunct/>
              <w:autoSpaceDE/>
              <w:autoSpaceDN/>
              <w:adjustRightInd/>
              <w:spacing w:after="0"/>
              <w:jc w:val="both"/>
              <w:textAlignment w:val="auto"/>
              <w:rPr>
                <w:kern w:val="2"/>
                <w:lang w:val="en-US" w:eastAsia="zh-CN"/>
              </w:rPr>
            </w:pPr>
            <w:r>
              <w:rPr>
                <w:kern w:val="2"/>
                <w:lang w:val="en-US" w:eastAsia="zh-CN"/>
              </w:rPr>
              <w:t>Specify core requirements for coexistence between ATG and IMT terrestrial network</w:t>
            </w:r>
          </w:p>
          <w:p>
            <w:pPr>
              <w:widowControl w:val="0"/>
              <w:numPr>
                <w:ilvl w:val="2"/>
                <w:numId w:val="4"/>
              </w:numPr>
              <w:overflowPunct/>
              <w:autoSpaceDE/>
              <w:autoSpaceDN/>
              <w:adjustRightInd/>
              <w:spacing w:after="0"/>
              <w:jc w:val="both"/>
              <w:textAlignment w:val="auto"/>
              <w:rPr>
                <w:kern w:val="2"/>
                <w:lang w:val="en-US" w:eastAsia="zh-CN"/>
              </w:rPr>
            </w:pPr>
            <w:r>
              <w:rPr>
                <w:kern w:val="2"/>
                <w:lang w:val="en-US" w:eastAsia="zh-CN"/>
              </w:rPr>
              <w:t>Example bands include n1, n78 and n79.</w:t>
            </w:r>
          </w:p>
          <w:p>
            <w:pPr>
              <w:widowControl w:val="0"/>
              <w:numPr>
                <w:ilvl w:val="2"/>
                <w:numId w:val="4"/>
              </w:numPr>
              <w:overflowPunct/>
              <w:autoSpaceDE/>
              <w:autoSpaceDN/>
              <w:adjustRightInd/>
              <w:spacing w:after="0"/>
              <w:jc w:val="both"/>
              <w:textAlignment w:val="auto"/>
              <w:rPr>
                <w:kern w:val="2"/>
                <w:lang w:val="en-US" w:eastAsia="zh-CN"/>
              </w:rPr>
            </w:pPr>
            <w:r>
              <w:rPr>
                <w:kern w:val="2"/>
                <w:lang w:val="en-US" w:eastAsia="zh-CN"/>
              </w:rPr>
              <w:t>Perform FR1 co-existence evaluation for ATG network (e.g. ACLR, ACS)</w:t>
            </w:r>
          </w:p>
          <w:p>
            <w:pPr>
              <w:widowControl w:val="0"/>
              <w:numPr>
                <w:ilvl w:val="2"/>
                <w:numId w:val="4"/>
              </w:numPr>
              <w:overflowPunct/>
              <w:autoSpaceDE/>
              <w:autoSpaceDN/>
              <w:adjustRightInd/>
              <w:spacing w:after="0"/>
              <w:jc w:val="both"/>
              <w:textAlignment w:val="auto"/>
              <w:rPr>
                <w:kern w:val="2"/>
                <w:lang w:val="en-US" w:eastAsia="zh-CN"/>
              </w:rPr>
            </w:pPr>
            <w:r>
              <w:rPr>
                <w:kern w:val="2"/>
                <w:lang w:val="en-US" w:eastAsia="zh-CN"/>
              </w:rPr>
              <w:t>Identify key characteristics where it is necessary to differentiate ATG ground-based BS and UEs from conventional ground based BS and UEs</w:t>
            </w:r>
          </w:p>
          <w:p>
            <w:pPr>
              <w:widowControl w:val="0"/>
              <w:numPr>
                <w:ilvl w:val="3"/>
                <w:numId w:val="4"/>
              </w:numPr>
              <w:overflowPunct/>
              <w:autoSpaceDE/>
              <w:autoSpaceDN/>
              <w:adjustRightInd/>
              <w:spacing w:after="0"/>
              <w:jc w:val="both"/>
              <w:textAlignment w:val="auto"/>
              <w:rPr>
                <w:kern w:val="2"/>
                <w:lang w:val="en-US" w:eastAsia="zh-CN"/>
              </w:rPr>
            </w:pPr>
            <w:r>
              <w:rPr>
                <w:kern w:val="2"/>
                <w:lang w:val="en-US" w:eastAsia="zh-CN"/>
              </w:rPr>
              <w:t>Aim to reuse existing requirements for BS and UE where possible, e.g.,</w:t>
            </w:r>
          </w:p>
          <w:p>
            <w:pPr>
              <w:widowControl w:val="0"/>
              <w:numPr>
                <w:ilvl w:val="4"/>
                <w:numId w:val="4"/>
              </w:numPr>
              <w:overflowPunct/>
              <w:autoSpaceDE/>
              <w:autoSpaceDN/>
              <w:adjustRightInd/>
              <w:spacing w:after="0"/>
              <w:jc w:val="both"/>
              <w:textAlignment w:val="auto"/>
              <w:rPr>
                <w:kern w:val="2"/>
                <w:lang w:val="en-US" w:eastAsia="zh-CN"/>
              </w:rPr>
            </w:pPr>
            <w:r>
              <w:rPr>
                <w:kern w:val="2"/>
                <w:lang w:val="en-US" w:eastAsia="zh-CN"/>
              </w:rPr>
              <w:t>Reuse TN BS requirements for ATG BS</w:t>
            </w:r>
          </w:p>
          <w:p>
            <w:pPr>
              <w:widowControl w:val="0"/>
              <w:numPr>
                <w:ilvl w:val="2"/>
                <w:numId w:val="4"/>
              </w:numPr>
              <w:overflowPunct/>
              <w:autoSpaceDE/>
              <w:autoSpaceDN/>
              <w:adjustRightInd/>
              <w:spacing w:after="0"/>
              <w:jc w:val="both"/>
              <w:textAlignment w:val="auto"/>
              <w:rPr>
                <w:kern w:val="2"/>
                <w:lang w:val="en-US" w:eastAsia="zh-CN"/>
              </w:rPr>
            </w:pPr>
            <w:r>
              <w:rPr>
                <w:kern w:val="2"/>
                <w:lang w:val="en-US" w:eastAsia="zh-CN"/>
              </w:rPr>
              <w:t>Specify RF requirements for ATG UE/BS</w:t>
            </w:r>
          </w:p>
          <w:p>
            <w:pPr>
              <w:widowControl w:val="0"/>
              <w:numPr>
                <w:ilvl w:val="3"/>
                <w:numId w:val="4"/>
              </w:numPr>
              <w:overflowPunct/>
              <w:autoSpaceDE/>
              <w:autoSpaceDN/>
              <w:adjustRightInd/>
              <w:spacing w:after="0"/>
              <w:jc w:val="both"/>
              <w:textAlignment w:val="auto"/>
              <w:rPr>
                <w:kern w:val="2"/>
                <w:lang w:val="en-US" w:eastAsia="zh-CN"/>
              </w:rPr>
            </w:pPr>
            <w:r>
              <w:rPr>
                <w:kern w:val="2"/>
                <w:lang w:val="en-US" w:eastAsia="zh-CN"/>
              </w:rPr>
              <w:t>Considering the results of co-existence simulations in terms of impact on emissions and RX requirements, cell sizes and link budgets, technology capabilities, likely BS and UE architectures and other relevant aspects.</w:t>
            </w:r>
          </w:p>
          <w:p>
            <w:pPr>
              <w:widowControl w:val="0"/>
              <w:numPr>
                <w:ilvl w:val="3"/>
                <w:numId w:val="4"/>
              </w:numPr>
              <w:overflowPunct/>
              <w:autoSpaceDE/>
              <w:autoSpaceDN/>
              <w:adjustRightInd/>
              <w:spacing w:after="0"/>
              <w:jc w:val="both"/>
              <w:textAlignment w:val="auto"/>
              <w:rPr>
                <w:kern w:val="2"/>
                <w:lang w:val="en-US" w:eastAsia="zh-CN"/>
              </w:rPr>
            </w:pPr>
            <w:r>
              <w:rPr>
                <w:kern w:val="2"/>
                <w:lang w:val="en-US" w:eastAsia="zh-CN"/>
              </w:rPr>
              <w:t>Taking into account identified differences between ATG and fully ground based systems</w:t>
            </w:r>
          </w:p>
          <w:p>
            <w:pPr>
              <w:widowControl w:val="0"/>
              <w:numPr>
                <w:ilvl w:val="3"/>
                <w:numId w:val="4"/>
              </w:numPr>
              <w:overflowPunct/>
              <w:autoSpaceDE/>
              <w:autoSpaceDN/>
              <w:adjustRightInd/>
              <w:spacing w:after="0"/>
              <w:jc w:val="both"/>
              <w:textAlignment w:val="auto"/>
              <w:rPr>
                <w:kern w:val="2"/>
                <w:lang w:val="en-US" w:eastAsia="zh-CN"/>
              </w:rPr>
            </w:pPr>
            <w:r>
              <w:rPr>
                <w:kern w:val="2"/>
                <w:lang w:val="en-US" w:eastAsia="zh-CN"/>
              </w:rPr>
              <w:t>Consider BS type 1-C/1-H/1-O and specify the requirements</w:t>
            </w:r>
          </w:p>
          <w:p>
            <w:pPr>
              <w:widowControl w:val="0"/>
              <w:numPr>
                <w:ilvl w:val="3"/>
                <w:numId w:val="4"/>
              </w:numPr>
              <w:overflowPunct/>
              <w:autoSpaceDE/>
              <w:autoSpaceDN/>
              <w:adjustRightInd/>
              <w:spacing w:after="0"/>
              <w:jc w:val="both"/>
              <w:textAlignment w:val="auto"/>
              <w:rPr>
                <w:kern w:val="2"/>
                <w:lang w:val="en-US" w:eastAsia="zh-CN"/>
              </w:rPr>
            </w:pPr>
            <w:r>
              <w:rPr>
                <w:kern w:val="2"/>
                <w:lang w:val="en-US" w:eastAsia="zh-CN"/>
              </w:rPr>
              <w:t>Consider conductive requirements for UE</w:t>
            </w:r>
          </w:p>
          <w:p>
            <w:pPr>
              <w:widowControl w:val="0"/>
              <w:numPr>
                <w:ilvl w:val="2"/>
                <w:numId w:val="4"/>
              </w:numPr>
              <w:overflowPunct/>
              <w:autoSpaceDE/>
              <w:autoSpaceDN/>
              <w:adjustRightInd/>
              <w:spacing w:after="0"/>
              <w:jc w:val="both"/>
              <w:textAlignment w:val="auto"/>
              <w:rPr>
                <w:kern w:val="2"/>
                <w:lang w:val="en-US" w:eastAsia="zh-CN"/>
              </w:rPr>
            </w:pPr>
            <w:r>
              <w:rPr>
                <w:kern w:val="2"/>
                <w:lang w:val="en-US" w:eastAsia="zh-CN"/>
              </w:rPr>
              <w:t>Specify RRM core requirements for ATG UE</w:t>
            </w:r>
          </w:p>
          <w:p>
            <w:pPr>
              <w:widowControl w:val="0"/>
              <w:numPr>
                <w:ilvl w:val="3"/>
                <w:numId w:val="4"/>
              </w:numPr>
              <w:overflowPunct/>
              <w:autoSpaceDE/>
              <w:autoSpaceDN/>
              <w:adjustRightInd/>
              <w:spacing w:after="0"/>
              <w:jc w:val="both"/>
              <w:textAlignment w:val="auto"/>
              <w:rPr>
                <w:kern w:val="2"/>
                <w:lang w:val="en-US" w:eastAsia="zh-CN"/>
              </w:rPr>
            </w:pPr>
            <w:r>
              <w:rPr>
                <w:kern w:val="2"/>
                <w:lang w:val="en-US" w:eastAsia="zh-CN"/>
              </w:rPr>
              <w:t>Taking into account identified differences between ATG and fully ground based systems</w:t>
            </w:r>
          </w:p>
          <w:p>
            <w:pPr>
              <w:widowControl w:val="0"/>
              <w:numPr>
                <w:ilvl w:val="3"/>
                <w:numId w:val="4"/>
              </w:numPr>
              <w:overflowPunct/>
              <w:autoSpaceDE/>
              <w:autoSpaceDN/>
              <w:adjustRightInd/>
              <w:spacing w:after="0"/>
              <w:jc w:val="both"/>
              <w:textAlignment w:val="auto"/>
              <w:rPr>
                <w:kern w:val="2"/>
                <w:lang w:val="en-US" w:eastAsia="zh-CN"/>
              </w:rPr>
            </w:pPr>
            <w:r>
              <w:rPr>
                <w:kern w:val="2"/>
                <w:lang w:val="en-US" w:eastAsia="zh-CN"/>
              </w:rPr>
              <w:t>Considering the different nature of ATG UEs and their view of the network, increased cell sizes and</w:t>
            </w:r>
            <w:r>
              <w:rPr>
                <w:rFonts w:hint="eastAsia"/>
                <w:kern w:val="2"/>
                <w:lang w:val="en-US" w:eastAsia="zh-CN"/>
              </w:rPr>
              <w:t xml:space="preserve"> </w:t>
            </w:r>
            <w:r>
              <w:rPr>
                <w:kern w:val="2"/>
                <w:lang w:val="en-US" w:eastAsia="zh-CN"/>
              </w:rPr>
              <w:t>other relevant aspects</w:t>
            </w:r>
          </w:p>
          <w:p>
            <w:pPr>
              <w:widowControl w:val="0"/>
              <w:numPr>
                <w:ilvl w:val="2"/>
                <w:numId w:val="4"/>
              </w:numPr>
              <w:overflowPunct/>
              <w:autoSpaceDE/>
              <w:autoSpaceDN/>
              <w:adjustRightInd/>
              <w:spacing w:after="0"/>
              <w:jc w:val="both"/>
              <w:textAlignment w:val="auto"/>
              <w:rPr>
                <w:rFonts w:hint="default" w:ascii="Times New Roman" w:hAnsi="Times New Roman" w:cs="Times New Roman" w:eastAsiaTheme="minorEastAsia"/>
                <w:b/>
                <w:kern w:val="0"/>
                <w:sz w:val="20"/>
                <w:szCs w:val="24"/>
                <w:u w:val="single"/>
                <w:lang w:val="en-US" w:eastAsia="zh-CN" w:bidi="ar-SA"/>
              </w:rPr>
            </w:pPr>
            <w:r>
              <w:rPr>
                <w:rFonts w:ascii="Times New Roman" w:hAnsi="Times New Roman" w:eastAsia="Times New Roman" w:cs="Times New Roman"/>
                <w:kern w:val="2"/>
                <w:sz w:val="20"/>
                <w:szCs w:val="24"/>
                <w:lang w:val="en-US" w:eastAsia="zh-CN" w:bidi="ar-SA"/>
              </w:rPr>
              <w:t>Specify new UE/BS type(s) for ATG network if necessary</w:t>
            </w:r>
          </w:p>
        </w:tc>
      </w:tr>
    </w:tbl>
    <w:p>
      <w:pPr>
        <w:pStyle w:val="4"/>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In last meeting, RAN4 has spread general discussion around RRM aspects in ATG case. The following agreements were achieved in [2] around the measurement requirements: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kinsoku/>
              <w:wordWrap/>
              <w:topLinePunct w:val="0"/>
              <w:bidi w:val="0"/>
              <w:snapToGrid/>
              <w:rPr>
                <w:b/>
                <w:sz w:val="20"/>
                <w:szCs w:val="20"/>
                <w:u w:val="single"/>
                <w:lang w:eastAsia="ko-KR"/>
              </w:rPr>
            </w:pPr>
            <w:r>
              <w:rPr>
                <w:b/>
                <w:sz w:val="20"/>
                <w:szCs w:val="20"/>
                <w:u w:val="single"/>
                <w:lang w:eastAsia="ko-KR"/>
              </w:rPr>
              <w:t>Issue 5-1-2: Measurement capability</w:t>
            </w:r>
          </w:p>
          <w:p>
            <w:pPr>
              <w:keepNext w:val="0"/>
              <w:keepLines w:val="0"/>
              <w:pageBreakBefore w:val="0"/>
              <w:kinsoku/>
              <w:wordWrap/>
              <w:topLinePunct w:val="0"/>
              <w:bidi w:val="0"/>
              <w:snapToGrid/>
              <w:rPr>
                <w:rFonts w:eastAsiaTheme="minorEastAsia"/>
                <w:iCs/>
                <w:sz w:val="20"/>
                <w:szCs w:val="20"/>
              </w:rPr>
            </w:pPr>
            <w:r>
              <w:rPr>
                <w:rFonts w:hint="eastAsia" w:eastAsiaTheme="minorEastAsia"/>
                <w:iCs/>
                <w:sz w:val="20"/>
                <w:szCs w:val="20"/>
                <w:highlight w:val="green"/>
              </w:rPr>
              <w:t>A</w:t>
            </w:r>
            <w:r>
              <w:rPr>
                <w:rFonts w:eastAsiaTheme="minorEastAsia"/>
                <w:iCs/>
                <w:sz w:val="20"/>
                <w:szCs w:val="20"/>
                <w:highlight w:val="green"/>
              </w:rPr>
              <w:t>greement</w:t>
            </w:r>
            <w:r>
              <w:rPr>
                <w:rFonts w:eastAsiaTheme="minorEastAsia"/>
                <w:iCs/>
                <w:sz w:val="20"/>
                <w:szCs w:val="20"/>
              </w:rPr>
              <w:t>:</w:t>
            </w:r>
          </w:p>
          <w:p>
            <w:pPr>
              <w:pStyle w:val="28"/>
              <w:keepNext w:val="0"/>
              <w:keepLines w:val="0"/>
              <w:pageBreakBefore w:val="0"/>
              <w:numPr>
                <w:ilvl w:val="0"/>
                <w:numId w:val="5"/>
              </w:numPr>
              <w:kinsoku/>
              <w:wordWrap/>
              <w:topLinePunct w:val="0"/>
              <w:bidi w:val="0"/>
              <w:snapToGrid/>
              <w:ind w:hanging="357" w:firstLineChars="0"/>
              <w:rPr>
                <w:rFonts w:eastAsia="宋体"/>
                <w:sz w:val="20"/>
                <w:szCs w:val="20"/>
              </w:rPr>
            </w:pPr>
            <w:r>
              <w:rPr>
                <w:rFonts w:eastAsia="宋体"/>
                <w:sz w:val="20"/>
                <w:szCs w:val="20"/>
              </w:rPr>
              <w:t>The legacy measurement capability of monitoring of multiple layers using gap can be reused for Rel-18 ATG.</w:t>
            </w:r>
          </w:p>
          <w:p>
            <w:pPr>
              <w:keepNext w:val="0"/>
              <w:keepLines w:val="0"/>
              <w:pageBreakBefore w:val="0"/>
              <w:kinsoku/>
              <w:wordWrap/>
              <w:topLinePunct w:val="0"/>
              <w:bidi w:val="0"/>
              <w:snapToGrid/>
              <w:rPr>
                <w:b/>
                <w:sz w:val="20"/>
                <w:szCs w:val="20"/>
                <w:u w:val="single"/>
                <w:lang w:eastAsia="ko-KR"/>
              </w:rPr>
            </w:pPr>
            <w:r>
              <w:rPr>
                <w:b/>
                <w:sz w:val="20"/>
                <w:szCs w:val="20"/>
                <w:u w:val="single"/>
                <w:lang w:eastAsia="ko-KR"/>
              </w:rPr>
              <w:t>Issue 5-1-3: CSSF</w:t>
            </w:r>
          </w:p>
          <w:p>
            <w:pPr>
              <w:keepNext w:val="0"/>
              <w:keepLines w:val="0"/>
              <w:pageBreakBefore w:val="0"/>
              <w:kinsoku/>
              <w:wordWrap/>
              <w:topLinePunct w:val="0"/>
              <w:bidi w:val="0"/>
              <w:snapToGrid/>
              <w:rPr>
                <w:rFonts w:eastAsiaTheme="minorEastAsia"/>
                <w:iCs/>
                <w:sz w:val="20"/>
                <w:szCs w:val="20"/>
              </w:rPr>
            </w:pPr>
            <w:r>
              <w:rPr>
                <w:rFonts w:hint="eastAsia" w:eastAsiaTheme="minorEastAsia"/>
                <w:iCs/>
                <w:sz w:val="20"/>
                <w:szCs w:val="20"/>
                <w:highlight w:val="green"/>
              </w:rPr>
              <w:t>A</w:t>
            </w:r>
            <w:r>
              <w:rPr>
                <w:rFonts w:eastAsiaTheme="minorEastAsia"/>
                <w:iCs/>
                <w:sz w:val="20"/>
                <w:szCs w:val="20"/>
                <w:highlight w:val="green"/>
              </w:rPr>
              <w:t>greement</w:t>
            </w:r>
            <w:r>
              <w:rPr>
                <w:rFonts w:eastAsiaTheme="minorEastAsia"/>
                <w:iCs/>
                <w:sz w:val="20"/>
                <w:szCs w:val="20"/>
              </w:rPr>
              <w:t>:</w:t>
            </w:r>
          </w:p>
          <w:p>
            <w:pPr>
              <w:pStyle w:val="28"/>
              <w:keepNext w:val="0"/>
              <w:keepLines w:val="0"/>
              <w:pageBreakBefore w:val="0"/>
              <w:numPr>
                <w:ilvl w:val="0"/>
                <w:numId w:val="5"/>
              </w:numPr>
              <w:kinsoku/>
              <w:wordWrap/>
              <w:topLinePunct w:val="0"/>
              <w:bidi w:val="0"/>
              <w:snapToGrid/>
              <w:ind w:hanging="357" w:firstLineChars="0"/>
              <w:rPr>
                <w:rFonts w:hint="eastAsia" w:eastAsia="宋体"/>
                <w:color w:val="auto"/>
                <w:sz w:val="20"/>
                <w:szCs w:val="20"/>
                <w:vertAlign w:val="baseline"/>
                <w:lang w:val="en-US" w:eastAsia="zh-CN"/>
              </w:rPr>
            </w:pPr>
            <w:r>
              <w:rPr>
                <w:rFonts w:eastAsia="宋体"/>
                <w:sz w:val="20"/>
                <w:szCs w:val="20"/>
              </w:rPr>
              <w:t>Take 2 searchers as the assumption when defining the CSSF requirement</w:t>
            </w:r>
          </w:p>
        </w:tc>
      </w:tr>
    </w:tbl>
    <w:p>
      <w:pPr>
        <w:pStyle w:val="4"/>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Except for the above conclusions, still multiple issues are suspending. In this document, we will provide some further analysis on the suspending issues around the measurement requirements of ATG. We discuss the following issues in this contribution.</w:t>
      </w:r>
    </w:p>
    <w:p>
      <w:pPr>
        <w:pStyle w:val="4"/>
        <w:numPr>
          <w:ilvl w:val="0"/>
          <w:numId w:val="6"/>
        </w:numPr>
        <w:tabs>
          <w:tab w:val="left" w:pos="226"/>
          <w:tab w:val="left" w:pos="284"/>
          <w:tab w:val="left" w:pos="5103"/>
        </w:tabs>
        <w:snapToGrid w:val="0"/>
        <w:spacing w:before="156" w:beforeLines="50"/>
        <w:ind w:left="420" w:leftChars="0" w:hanging="420" w:firstLineChars="0"/>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Measurement gap</w:t>
      </w:r>
    </w:p>
    <w:p>
      <w:pPr>
        <w:pStyle w:val="4"/>
        <w:numPr>
          <w:ilvl w:val="0"/>
          <w:numId w:val="6"/>
        </w:numPr>
        <w:tabs>
          <w:tab w:val="left" w:pos="226"/>
          <w:tab w:val="left" w:pos="284"/>
          <w:tab w:val="left" w:pos="5103"/>
        </w:tabs>
        <w:snapToGrid w:val="0"/>
        <w:spacing w:before="156" w:beforeLines="50"/>
        <w:ind w:left="420" w:leftChars="0" w:hanging="420" w:firstLineChars="0"/>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Exact CSSF</w:t>
      </w:r>
    </w:p>
    <w:p>
      <w:pPr>
        <w:pStyle w:val="4"/>
        <w:numPr>
          <w:ilvl w:val="0"/>
          <w:numId w:val="6"/>
        </w:numPr>
        <w:tabs>
          <w:tab w:val="left" w:pos="226"/>
          <w:tab w:val="left" w:pos="284"/>
          <w:tab w:val="left" w:pos="5103"/>
        </w:tabs>
        <w:snapToGrid w:val="0"/>
        <w:spacing w:before="156" w:beforeLines="50"/>
        <w:ind w:left="420" w:leftChars="0" w:hanging="420" w:firstLineChars="0"/>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Intra-frequency measurement requirements</w:t>
      </w:r>
    </w:p>
    <w:p>
      <w:pPr>
        <w:pStyle w:val="4"/>
        <w:numPr>
          <w:ilvl w:val="0"/>
          <w:numId w:val="6"/>
        </w:numPr>
        <w:tabs>
          <w:tab w:val="left" w:pos="226"/>
          <w:tab w:val="left" w:pos="284"/>
          <w:tab w:val="left" w:pos="5103"/>
        </w:tabs>
        <w:snapToGrid w:val="0"/>
        <w:spacing w:before="156" w:beforeLines="50"/>
        <w:ind w:left="420" w:leftChars="0" w:hanging="420" w:firstLineChars="0"/>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Inter-frequency measurement requirements</w:t>
      </w:r>
    </w:p>
    <w:p>
      <w:pPr>
        <w:pStyle w:val="4"/>
        <w:numPr>
          <w:ilvl w:val="0"/>
          <w:numId w:val="6"/>
        </w:numPr>
        <w:tabs>
          <w:tab w:val="left" w:pos="226"/>
          <w:tab w:val="left" w:pos="284"/>
          <w:tab w:val="left" w:pos="5103"/>
        </w:tabs>
        <w:snapToGrid w:val="0"/>
        <w:spacing w:before="156" w:beforeLines="50"/>
        <w:ind w:left="420" w:leftChars="0" w:hanging="420" w:firstLineChars="0"/>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Pre-configured MG</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Based on the characteristics of ATG system, the following key points should be noted:</w:t>
      </w:r>
    </w:p>
    <w:p>
      <w:pPr>
        <w:numPr>
          <w:ilvl w:val="0"/>
          <w:numId w:val="7"/>
        </w:numPr>
        <w:ind w:left="420" w:leftChars="0" w:hanging="420" w:firstLineChars="0"/>
        <w:rPr>
          <w:rFonts w:hint="default"/>
          <w:lang w:val="en-US" w:eastAsia="zh-CN"/>
        </w:rPr>
      </w:pPr>
      <w:r>
        <w:rPr>
          <w:rFonts w:hint="eastAsia"/>
          <w:lang w:val="en-US" w:eastAsia="zh-CN"/>
        </w:rPr>
        <w:t>Extremely large ISD, e.g. about 100km to 200 km</w:t>
      </w:r>
    </w:p>
    <w:p>
      <w:pPr>
        <w:numPr>
          <w:ilvl w:val="0"/>
          <w:numId w:val="7"/>
        </w:numPr>
        <w:ind w:left="420" w:leftChars="0" w:hanging="420" w:firstLineChars="0"/>
        <w:rPr>
          <w:rFonts w:hint="default"/>
          <w:lang w:val="en-US" w:eastAsia="zh-CN"/>
        </w:rPr>
      </w:pPr>
      <w:r>
        <w:rPr>
          <w:rFonts w:hint="eastAsia"/>
          <w:lang w:val="en-US" w:eastAsia="zh-CN"/>
        </w:rPr>
        <w:t>Extremely high flight speed, e.g. up to 1200km/h</w:t>
      </w:r>
    </w:p>
    <w:p>
      <w:pPr>
        <w:numPr>
          <w:ilvl w:val="0"/>
          <w:numId w:val="7"/>
        </w:numPr>
        <w:ind w:left="420" w:leftChars="0" w:hanging="420" w:firstLineChars="0"/>
        <w:rPr>
          <w:rFonts w:hint="default"/>
          <w:lang w:val="en-US" w:eastAsia="zh-CN"/>
        </w:rPr>
      </w:pPr>
      <w:r>
        <w:rPr>
          <w:rFonts w:hint="eastAsia"/>
          <w:lang w:val="en-US" w:eastAsia="zh-CN"/>
        </w:rPr>
        <w:t>Utilizing same frequency for deploying both ATG and TN(terrestrial network), e.g. n1, n78, n79 -- So only focus on FR1</w:t>
      </w:r>
    </w:p>
    <w:p>
      <w:pPr>
        <w:numPr>
          <w:ilvl w:val="0"/>
          <w:numId w:val="7"/>
        </w:numPr>
        <w:ind w:left="420" w:leftChars="0" w:hanging="420" w:firstLineChars="0"/>
        <w:rPr>
          <w:rFonts w:hint="default"/>
          <w:lang w:val="en-US" w:eastAsia="zh-CN"/>
        </w:rPr>
      </w:pPr>
      <w:r>
        <w:rPr>
          <w:rFonts w:hint="eastAsia"/>
          <w:lang w:val="en-US" w:eastAsia="zh-CN"/>
        </w:rPr>
        <w:t>Much powerful on-board ATG terminal capacity</w:t>
      </w:r>
    </w:p>
    <w:p>
      <w:pPr>
        <w:numPr>
          <w:ilvl w:val="0"/>
          <w:numId w:val="7"/>
        </w:numPr>
        <w:ind w:left="420" w:leftChars="0" w:hanging="420" w:firstLineChars="0"/>
        <w:rPr>
          <w:rFonts w:hint="default"/>
          <w:lang w:val="en-US" w:eastAsia="zh-CN"/>
        </w:rPr>
      </w:pPr>
      <w:r>
        <w:rPr>
          <w:rFonts w:hint="eastAsia"/>
          <w:lang w:val="en-US" w:eastAsia="zh-CN"/>
        </w:rPr>
        <w:t>R18 only focuses on SA mode and single connectivity with operation in a single band. DC, FR2, inter-RAT are not applicable to ATG. CA is possible in future release depending on demands</w:t>
      </w:r>
    </w:p>
    <w:p>
      <w:pPr>
        <w:numPr>
          <w:ilvl w:val="0"/>
          <w:numId w:val="7"/>
        </w:numPr>
        <w:ind w:left="420" w:leftChars="0" w:hanging="420" w:firstLineChars="0"/>
        <w:rPr>
          <w:rFonts w:hint="default"/>
          <w:lang w:val="en-US" w:eastAsia="zh-CN"/>
        </w:rPr>
      </w:pPr>
      <w:r>
        <w:rPr>
          <w:rFonts w:hint="eastAsia"/>
          <w:lang w:val="en-US" w:eastAsia="zh-CN"/>
        </w:rPr>
        <w:t>Height of CPE: 3km--10km</w:t>
      </w:r>
    </w:p>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We provide our analysis for multiple RRM aspects given all the above key points of ATG system.</w:t>
      </w:r>
    </w:p>
    <w:p>
      <w:pPr>
        <w:pStyle w:val="4"/>
        <w:jc w:val="both"/>
        <w:rPr>
          <w:rFonts w:hint="eastAsia" w:eastAsia="宋体"/>
          <w:color w:val="auto"/>
          <w:sz w:val="20"/>
          <w:szCs w:val="20"/>
          <w:highlight w:val="none"/>
          <w:u w:val="single"/>
          <w:lang w:val="en-US" w:eastAsia="zh-CN"/>
        </w:rPr>
      </w:pPr>
      <w:r>
        <w:rPr>
          <w:rFonts w:hint="eastAsia" w:eastAsia="宋体"/>
          <w:color w:val="auto"/>
          <w:sz w:val="20"/>
          <w:szCs w:val="20"/>
          <w:highlight w:val="none"/>
          <w:u w:val="single"/>
          <w:lang w:val="en-US" w:eastAsia="zh-CN"/>
        </w:rPr>
        <w:t>Measurement gap</w:t>
      </w:r>
    </w:p>
    <w:p>
      <w:pPr>
        <w:pStyle w:val="4"/>
        <w:jc w:val="both"/>
        <w:rPr>
          <w:rFonts w:hint="eastAsia" w:eastAsia="宋体"/>
          <w:color w:val="auto"/>
          <w:sz w:val="20"/>
          <w:szCs w:val="20"/>
          <w:lang w:val="en-US" w:eastAsia="zh-CN"/>
        </w:rPr>
      </w:pPr>
      <w:r>
        <w:rPr>
          <w:rFonts w:hint="eastAsia" w:eastAsia="宋体"/>
          <w:color w:val="auto"/>
          <w:sz w:val="20"/>
          <w:szCs w:val="20"/>
          <w:lang w:val="en-US" w:eastAsia="zh-CN"/>
        </w:rPr>
        <w:t>Regarding to measurement gap, the following options were proposed in last meeting:</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8"/>
              <w:numPr>
                <w:ilvl w:val="0"/>
                <w:numId w:val="5"/>
              </w:numPr>
              <w:spacing w:after="120"/>
              <w:ind w:hanging="357" w:firstLineChars="0"/>
              <w:rPr>
                <w:rFonts w:eastAsia="宋体"/>
                <w:sz w:val="20"/>
                <w:szCs w:val="20"/>
              </w:rPr>
            </w:pPr>
            <w:r>
              <w:rPr>
                <w:rFonts w:eastAsia="宋体"/>
                <w:sz w:val="20"/>
                <w:szCs w:val="20"/>
              </w:rPr>
              <w:t>Option 1: Reuse the legacy MG requirements for R18 ATG. (CATT, CMCC, LGE, HW, ZTE)</w:t>
            </w:r>
          </w:p>
          <w:p>
            <w:pPr>
              <w:pStyle w:val="28"/>
              <w:numPr>
                <w:ilvl w:val="0"/>
                <w:numId w:val="5"/>
              </w:numPr>
              <w:spacing w:after="120"/>
              <w:ind w:hanging="357" w:firstLineChars="0"/>
              <w:rPr>
                <w:rFonts w:eastAsia="宋体"/>
                <w:sz w:val="20"/>
                <w:szCs w:val="20"/>
              </w:rPr>
            </w:pPr>
            <w:r>
              <w:rPr>
                <w:rFonts w:eastAsia="宋体"/>
                <w:sz w:val="20"/>
                <w:szCs w:val="20"/>
              </w:rPr>
              <w:t>Option 2: It is proposed to consider extend the measurement gap length to include 6.5us/7us/7.5us for ATG. (Apple)</w:t>
            </w:r>
          </w:p>
          <w:p>
            <w:pPr>
              <w:pStyle w:val="28"/>
              <w:numPr>
                <w:ilvl w:val="0"/>
                <w:numId w:val="5"/>
              </w:numPr>
              <w:spacing w:after="120"/>
              <w:ind w:hanging="357" w:firstLineChars="0"/>
              <w:rPr>
                <w:rFonts w:hint="default" w:eastAsia="宋体"/>
                <w:color w:val="auto"/>
                <w:sz w:val="20"/>
                <w:szCs w:val="20"/>
                <w:vertAlign w:val="baseline"/>
                <w:lang w:val="en-US" w:eastAsia="zh-CN"/>
              </w:rPr>
            </w:pPr>
            <w:r>
              <w:rPr>
                <w:rFonts w:eastAsia="宋体"/>
                <w:sz w:val="20"/>
                <w:szCs w:val="20"/>
              </w:rPr>
              <w:t>Option 3: Only FR1 MG will be used in Rel-18 ATG network. (Ericsson)</w:t>
            </w:r>
          </w:p>
        </w:tc>
      </w:tr>
    </w:tbl>
    <w:p>
      <w:pPr>
        <w:pStyle w:val="4"/>
        <w:jc w:val="both"/>
        <w:rPr>
          <w:rFonts w:hint="default" w:eastAsia="宋体"/>
          <w:color w:val="auto"/>
          <w:sz w:val="20"/>
          <w:szCs w:val="20"/>
          <w:lang w:val="en-US" w:eastAsia="zh-CN"/>
        </w:rPr>
      </w:pPr>
      <w:r>
        <w:rPr>
          <w:rFonts w:hint="eastAsia" w:eastAsia="宋体"/>
          <w:color w:val="auto"/>
          <w:sz w:val="20"/>
          <w:szCs w:val="20"/>
          <w:lang w:val="en-US" w:eastAsia="zh-CN"/>
        </w:rPr>
        <w:t>Since intra/inter-frequency measurement with gap is applicable and possible, so the configuration of measurement gap is necessary. Considering only some of bands in FR1 is applicable for ATG, so we believe only FR1 MG will be used in Rel-18 ATG network. Whether it is necessary to consider the extension of measurement gap length to some additional values, such as referred in Option 2, we need to analysis based on the assumption of the cell coverage. As approved in previous meeting, the ISD is up to 200 km, so we can believe the maximum propagation delay difference between two neighbour cells in intra/inter-frequency measurement is up to 0.67 ms. Considering the current measurement gap length supporting 3ms, 4ms and 6 ms length in FR1, while the allowed SSB burst within a SMTC windows is up to 4 ms duration for FR1, so even consider the propagation delay difference between the serving cell and neighbour cell, current measurement gap length is long enough, as shown in Figure 1 below.</w:t>
      </w:r>
    </w:p>
    <w:p>
      <w:pPr>
        <w:pStyle w:val="4"/>
        <w:jc w:val="center"/>
      </w:pPr>
      <w:r>
        <w:drawing>
          <wp:inline distT="0" distB="0" distL="114300" distR="114300">
            <wp:extent cx="2354580" cy="1744980"/>
            <wp:effectExtent l="0" t="0" r="762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2354580" cy="1744980"/>
                    </a:xfrm>
                    <a:prstGeom prst="rect">
                      <a:avLst/>
                    </a:prstGeom>
                    <a:noFill/>
                    <a:ln>
                      <a:noFill/>
                    </a:ln>
                  </pic:spPr>
                </pic:pic>
              </a:graphicData>
            </a:graphic>
          </wp:inline>
        </w:drawing>
      </w:r>
    </w:p>
    <w:p>
      <w:pPr>
        <w:pStyle w:val="4"/>
        <w:jc w:val="center"/>
        <w:rPr>
          <w:rFonts w:hint="default" w:eastAsia="宋体"/>
          <w:lang w:val="en-US" w:eastAsia="zh-CN"/>
        </w:rPr>
      </w:pPr>
      <w:r>
        <w:rPr>
          <w:rFonts w:hint="eastAsia" w:eastAsia="宋体"/>
          <w:lang w:val="en-US" w:eastAsia="zh-CN"/>
        </w:rPr>
        <w:t>Figure 1: Propagation delay difference between cells</w:t>
      </w:r>
    </w:p>
    <w:p>
      <w:pPr>
        <w:pStyle w:val="4"/>
        <w:numPr>
          <w:ilvl w:val="0"/>
          <w:numId w:val="0"/>
        </w:numPr>
        <w:ind w:leftChars="0"/>
        <w:jc w:val="both"/>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Observation 1: Considering the assumption of maximum ISD as 200 km, current measurement gap length is basically enough to cover the propagation delay difference between two neighbour cells. </w:t>
      </w:r>
    </w:p>
    <w:p>
      <w:pPr>
        <w:pStyle w:val="4"/>
        <w:numPr>
          <w:ilvl w:val="0"/>
          <w:numId w:val="0"/>
        </w:numPr>
        <w:ind w:leftChars="0"/>
        <w:jc w:val="both"/>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Reuse the legacy MG requirements for R18 ATG, and only FR1 MG will be used in Rel-18 ATG network.</w:t>
      </w:r>
    </w:p>
    <w:p>
      <w:pPr>
        <w:pStyle w:val="4"/>
        <w:numPr>
          <w:ilvl w:val="0"/>
          <w:numId w:val="0"/>
        </w:numPr>
        <w:ind w:leftChars="0"/>
        <w:jc w:val="both"/>
        <w:rPr>
          <w:rFonts w:hint="default" w:eastAsia="宋体"/>
          <w:color w:val="auto"/>
          <w:sz w:val="20"/>
          <w:szCs w:val="20"/>
          <w:highlight w:val="none"/>
          <w:u w:val="single"/>
          <w:lang w:val="en-US" w:eastAsia="zh-CN"/>
        </w:rPr>
      </w:pPr>
      <w:r>
        <w:rPr>
          <w:rFonts w:hint="eastAsia" w:eastAsia="宋体"/>
          <w:color w:val="auto"/>
          <w:sz w:val="20"/>
          <w:szCs w:val="20"/>
          <w:highlight w:val="none"/>
          <w:u w:val="single"/>
          <w:lang w:val="en-US" w:eastAsia="zh-CN"/>
        </w:rPr>
        <w:t>Exact CSSF</w:t>
      </w:r>
    </w:p>
    <w:p>
      <w:pPr>
        <w:pStyle w:val="4"/>
        <w:numPr>
          <w:ilvl w:val="0"/>
          <w:numId w:val="0"/>
        </w:numPr>
        <w:ind w:leftChars="0"/>
        <w:jc w:val="both"/>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It has been approved that 2 searchers is assumed when defining the CSSF requirement for ATG. While regarding to the exact CSSF, still FFS and the following options were proposed in last meeting:</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widowControl w:val="0"/>
              <w:kinsoku/>
              <w:wordWrap/>
              <w:topLinePunct w:val="0"/>
              <w:bidi w:val="0"/>
              <w:snapToGrid/>
              <w:rPr>
                <w:rFonts w:eastAsiaTheme="minorEastAsia"/>
                <w:iCs/>
                <w:sz w:val="20"/>
                <w:szCs w:val="20"/>
              </w:rPr>
            </w:pPr>
            <w:r>
              <w:rPr>
                <w:rFonts w:hint="eastAsia" w:eastAsiaTheme="minorEastAsia"/>
                <w:iCs/>
                <w:sz w:val="20"/>
                <w:szCs w:val="20"/>
              </w:rPr>
              <w:t>W</w:t>
            </w:r>
            <w:r>
              <w:rPr>
                <w:rFonts w:eastAsiaTheme="minorEastAsia"/>
                <w:iCs/>
                <w:sz w:val="20"/>
                <w:szCs w:val="20"/>
              </w:rPr>
              <w:t>ay forward</w:t>
            </w:r>
          </w:p>
          <w:p>
            <w:pPr>
              <w:pStyle w:val="28"/>
              <w:keepNext w:val="0"/>
              <w:keepLines w:val="0"/>
              <w:pageBreakBefore w:val="0"/>
              <w:widowControl w:val="0"/>
              <w:numPr>
                <w:ilvl w:val="0"/>
                <w:numId w:val="5"/>
              </w:numPr>
              <w:kinsoku/>
              <w:wordWrap/>
              <w:topLinePunct w:val="0"/>
              <w:bidi w:val="0"/>
              <w:snapToGrid/>
              <w:ind w:hanging="357" w:firstLineChars="0"/>
              <w:rPr>
                <w:rFonts w:eastAsia="宋体"/>
                <w:sz w:val="20"/>
                <w:szCs w:val="20"/>
              </w:rPr>
            </w:pPr>
            <w:r>
              <w:rPr>
                <w:rFonts w:eastAsia="宋体"/>
                <w:sz w:val="20"/>
                <w:szCs w:val="20"/>
              </w:rPr>
              <w:t>For inter-frequency without gap assumption</w:t>
            </w:r>
          </w:p>
          <w:p>
            <w:pPr>
              <w:pStyle w:val="28"/>
              <w:keepNext w:val="0"/>
              <w:keepLines w:val="0"/>
              <w:pageBreakBefore w:val="0"/>
              <w:widowControl w:val="0"/>
              <w:numPr>
                <w:ilvl w:val="1"/>
                <w:numId w:val="5"/>
              </w:numPr>
              <w:kinsoku/>
              <w:wordWrap/>
              <w:overflowPunct w:val="0"/>
              <w:topLinePunct w:val="0"/>
              <w:autoSpaceDE w:val="0"/>
              <w:autoSpaceDN w:val="0"/>
              <w:bidi w:val="0"/>
              <w:adjustRightInd w:val="0"/>
              <w:snapToGrid/>
              <w:ind w:firstLineChars="0"/>
              <w:textAlignment w:val="baseline"/>
              <w:rPr>
                <w:rFonts w:eastAsia="宋体"/>
                <w:sz w:val="20"/>
                <w:szCs w:val="20"/>
              </w:rPr>
            </w:pPr>
            <w:r>
              <w:rPr>
                <w:rFonts w:eastAsia="宋体"/>
                <w:sz w:val="20"/>
                <w:szCs w:val="20"/>
              </w:rPr>
              <w:t>Option 1: inter-frequency measurement without GAP should be considered.</w:t>
            </w:r>
          </w:p>
          <w:p>
            <w:pPr>
              <w:pStyle w:val="28"/>
              <w:keepNext w:val="0"/>
              <w:keepLines w:val="0"/>
              <w:pageBreakBefore w:val="0"/>
              <w:widowControl w:val="0"/>
              <w:numPr>
                <w:ilvl w:val="1"/>
                <w:numId w:val="5"/>
              </w:numPr>
              <w:kinsoku/>
              <w:wordWrap/>
              <w:topLinePunct w:val="0"/>
              <w:bidi w:val="0"/>
              <w:snapToGrid/>
              <w:ind w:firstLineChars="0"/>
              <w:rPr>
                <w:rFonts w:eastAsia="宋体"/>
                <w:sz w:val="20"/>
                <w:szCs w:val="20"/>
              </w:rPr>
            </w:pPr>
            <w:r>
              <w:rPr>
                <w:rFonts w:eastAsia="宋体"/>
                <w:sz w:val="20"/>
                <w:szCs w:val="20"/>
              </w:rPr>
              <w:t>Option 2: inter-frequency without gap maybe not a typical scenarios to be considered.</w:t>
            </w:r>
          </w:p>
          <w:p>
            <w:pPr>
              <w:pStyle w:val="28"/>
              <w:keepNext w:val="0"/>
              <w:keepLines w:val="0"/>
              <w:pageBreakBefore w:val="0"/>
              <w:widowControl w:val="0"/>
              <w:numPr>
                <w:ilvl w:val="0"/>
                <w:numId w:val="5"/>
              </w:numPr>
              <w:kinsoku/>
              <w:wordWrap/>
              <w:topLinePunct w:val="0"/>
              <w:bidi w:val="0"/>
              <w:snapToGrid/>
              <w:ind w:hanging="357" w:firstLineChars="0"/>
              <w:rPr>
                <w:rFonts w:eastAsia="宋体"/>
                <w:sz w:val="20"/>
                <w:szCs w:val="20"/>
              </w:rPr>
            </w:pPr>
            <w:r>
              <w:rPr>
                <w:rFonts w:eastAsia="宋体"/>
                <w:sz w:val="20"/>
                <w:szCs w:val="20"/>
              </w:rPr>
              <w:t>For CSSF value</w:t>
            </w:r>
          </w:p>
          <w:p>
            <w:pPr>
              <w:pStyle w:val="28"/>
              <w:keepNext w:val="0"/>
              <w:keepLines w:val="0"/>
              <w:pageBreakBefore w:val="0"/>
              <w:widowControl w:val="0"/>
              <w:numPr>
                <w:ilvl w:val="1"/>
                <w:numId w:val="5"/>
              </w:numPr>
              <w:kinsoku/>
              <w:wordWrap/>
              <w:topLinePunct w:val="0"/>
              <w:bidi w:val="0"/>
              <w:snapToGrid/>
              <w:ind w:firstLineChars="0"/>
              <w:rPr>
                <w:sz w:val="20"/>
                <w:szCs w:val="20"/>
              </w:rPr>
            </w:pPr>
            <w:r>
              <w:rPr>
                <w:sz w:val="20"/>
                <w:szCs w:val="20"/>
              </w:rPr>
              <w:t>Option 1: For intra-frequency measurement outside measurement gap, CSSF</w:t>
            </w:r>
            <w:r>
              <w:rPr>
                <w:sz w:val="20"/>
                <w:szCs w:val="20"/>
                <w:vertAlign w:val="subscript"/>
              </w:rPr>
              <w:t xml:space="preserve">outside_gap,i </w:t>
            </w:r>
            <w:r>
              <w:rPr>
                <w:sz w:val="20"/>
                <w:szCs w:val="20"/>
              </w:rPr>
              <w:t>=</w:t>
            </w:r>
            <w:r>
              <w:rPr>
                <w:rFonts w:hint="eastAsia"/>
                <w:sz w:val="20"/>
                <w:szCs w:val="20"/>
              </w:rPr>
              <w:t>1</w:t>
            </w:r>
            <w:r>
              <w:rPr>
                <w:sz w:val="20"/>
                <w:szCs w:val="20"/>
              </w:rPr>
              <w:t>.</w:t>
            </w:r>
            <w:r>
              <w:rPr>
                <w:rFonts w:hint="eastAsia"/>
                <w:sz w:val="20"/>
                <w:szCs w:val="20"/>
              </w:rPr>
              <w:t xml:space="preserve"> </w:t>
            </w:r>
          </w:p>
          <w:p>
            <w:pPr>
              <w:pStyle w:val="28"/>
              <w:keepNext w:val="0"/>
              <w:keepLines w:val="0"/>
              <w:pageBreakBefore w:val="0"/>
              <w:widowControl w:val="0"/>
              <w:numPr>
                <w:ilvl w:val="1"/>
                <w:numId w:val="5"/>
              </w:numPr>
              <w:kinsoku/>
              <w:wordWrap/>
              <w:topLinePunct w:val="0"/>
              <w:bidi w:val="0"/>
              <w:snapToGrid/>
              <w:ind w:firstLineChars="0"/>
              <w:rPr>
                <w:rFonts w:eastAsiaTheme="minorEastAsia"/>
                <w:sz w:val="20"/>
                <w:szCs w:val="20"/>
              </w:rPr>
            </w:pPr>
            <w:r>
              <w:rPr>
                <w:sz w:val="20"/>
                <w:szCs w:val="20"/>
              </w:rPr>
              <w:t>Option 2: For inter-frequency measurement outside measurement gap, CSSF</w:t>
            </w:r>
            <w:r>
              <w:rPr>
                <w:sz w:val="20"/>
                <w:szCs w:val="20"/>
                <w:vertAlign w:val="subscript"/>
              </w:rPr>
              <w:t xml:space="preserve">outside_gap,i </w:t>
            </w:r>
            <w:r>
              <w:rPr>
                <w:sz w:val="20"/>
                <w:szCs w:val="20"/>
              </w:rPr>
              <w:t>=Y, Y is the number of configured inter-frequency MOs without MG that are being measured outside of MG</w:t>
            </w:r>
            <w:r>
              <w:rPr>
                <w:rFonts w:hint="eastAsia"/>
                <w:sz w:val="20"/>
                <w:szCs w:val="20"/>
              </w:rPr>
              <w:t>.</w:t>
            </w:r>
            <w:r>
              <w:rPr>
                <w:sz w:val="20"/>
                <w:szCs w:val="20"/>
              </w:rPr>
              <w:t xml:space="preserve"> </w:t>
            </w:r>
          </w:p>
          <w:p>
            <w:pPr>
              <w:pStyle w:val="28"/>
              <w:keepNext w:val="0"/>
              <w:keepLines w:val="0"/>
              <w:pageBreakBefore w:val="0"/>
              <w:widowControl w:val="0"/>
              <w:numPr>
                <w:ilvl w:val="1"/>
                <w:numId w:val="5"/>
              </w:numPr>
              <w:kinsoku/>
              <w:wordWrap/>
              <w:topLinePunct w:val="0"/>
              <w:bidi w:val="0"/>
              <w:snapToGrid/>
              <w:ind w:firstLineChars="0"/>
              <w:rPr>
                <w:rFonts w:hint="default" w:eastAsia="宋体"/>
                <w:color w:val="auto"/>
                <w:sz w:val="20"/>
                <w:szCs w:val="20"/>
                <w:highlight w:val="none"/>
                <w:vertAlign w:val="baseline"/>
                <w:lang w:val="en-US" w:eastAsia="zh-CN"/>
              </w:rPr>
            </w:pPr>
            <w:r>
              <w:rPr>
                <w:rFonts w:hint="eastAsia" w:eastAsiaTheme="minorEastAsia"/>
                <w:sz w:val="20"/>
                <w:szCs w:val="20"/>
              </w:rPr>
              <w:t>O</w:t>
            </w:r>
            <w:r>
              <w:rPr>
                <w:rFonts w:eastAsiaTheme="minorEastAsia"/>
                <w:sz w:val="20"/>
                <w:szCs w:val="20"/>
              </w:rPr>
              <w:t>ption 3: If intra-frequency measurement is with measurement gap, CSSF</w:t>
            </w:r>
            <w:r>
              <w:rPr>
                <w:rFonts w:eastAsiaTheme="minorEastAsia"/>
                <w:sz w:val="20"/>
                <w:szCs w:val="20"/>
                <w:vertAlign w:val="subscript"/>
              </w:rPr>
              <w:t>outside_gap,i</w:t>
            </w:r>
            <w:r>
              <w:rPr>
                <w:rFonts w:eastAsiaTheme="minorEastAsia"/>
                <w:sz w:val="20"/>
                <w:szCs w:val="20"/>
              </w:rPr>
              <w:t xml:space="preserve"> = Y for inter-frequency measurement with no measurement gap, Y is the number of configured inter-frequency MOs without MG that are being measured outside of MG</w:t>
            </w:r>
          </w:p>
          <w:p>
            <w:pPr>
              <w:pStyle w:val="28"/>
              <w:keepNext w:val="0"/>
              <w:keepLines w:val="0"/>
              <w:pageBreakBefore w:val="0"/>
              <w:widowControl w:val="0"/>
              <w:numPr>
                <w:ilvl w:val="1"/>
                <w:numId w:val="5"/>
              </w:numPr>
              <w:kinsoku/>
              <w:wordWrap/>
              <w:topLinePunct w:val="0"/>
              <w:bidi w:val="0"/>
              <w:snapToGrid/>
              <w:ind w:firstLineChars="0"/>
              <w:rPr>
                <w:rFonts w:hint="default" w:eastAsia="宋体"/>
                <w:color w:val="auto"/>
                <w:sz w:val="20"/>
                <w:szCs w:val="20"/>
                <w:highlight w:val="none"/>
                <w:vertAlign w:val="baseline"/>
                <w:lang w:val="en-US" w:eastAsia="zh-CN"/>
              </w:rPr>
            </w:pPr>
            <w:r>
              <w:rPr>
                <w:rFonts w:hint="eastAsia" w:eastAsiaTheme="minorEastAsia"/>
                <w:sz w:val="20"/>
                <w:szCs w:val="20"/>
              </w:rPr>
              <w:t>O</w:t>
            </w:r>
            <w:r>
              <w:rPr>
                <w:rFonts w:eastAsiaTheme="minorEastAsia"/>
                <w:sz w:val="20"/>
                <w:szCs w:val="20"/>
              </w:rPr>
              <w:t>ption 4: the CSSF under RedCap single carrier case can be a reference.</w:t>
            </w:r>
          </w:p>
        </w:tc>
      </w:tr>
    </w:tbl>
    <w:p>
      <w:pPr>
        <w:pStyle w:val="4"/>
        <w:numPr>
          <w:ilvl w:val="0"/>
          <w:numId w:val="0"/>
        </w:numPr>
        <w:ind w:leftChars="0"/>
        <w:jc w:val="both"/>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 xml:space="preserve">Before we go to the discussion of exact CSSF value, firstly we need to identify whether the inter-frequency measurement without gap to be considered or not in ATG scenario, since which would impact the total number of MOs sharing the 2 searchers. In our opinion, if we can not exclude such measurement from the use case, maybe such measurement is allowed and possible. So when we decide the </w:t>
      </w:r>
      <w:r>
        <w:rPr>
          <w:i/>
        </w:rPr>
        <w:t>CSSF</w:t>
      </w:r>
      <w:r>
        <w:rPr>
          <w:vertAlign w:val="subscript"/>
        </w:rPr>
        <w:t>outside</w:t>
      </w:r>
      <w:r>
        <w:rPr>
          <w:rFonts w:hint="eastAsia" w:eastAsia="宋体"/>
          <w:color w:val="auto"/>
          <w:sz w:val="20"/>
          <w:szCs w:val="20"/>
          <w:highlight w:val="none"/>
          <w:lang w:val="en-US" w:eastAsia="zh-CN"/>
        </w:rPr>
        <w:t>, we need to consider both the intra-f and inter-f measurements without gap.</w:t>
      </w:r>
    </w:p>
    <w:p>
      <w:pPr>
        <w:pStyle w:val="4"/>
        <w:numPr>
          <w:ilvl w:val="0"/>
          <w:numId w:val="0"/>
        </w:numPr>
        <w:ind w:leftChars="0"/>
        <w:jc w:val="both"/>
        <w:rPr>
          <w:rFonts w:hint="default" w:eastAsia="宋体"/>
          <w:sz w:val="20"/>
          <w:szCs w:val="20"/>
          <w:lang w:val="en-US" w:eastAsia="zh-CN"/>
        </w:rPr>
      </w:pPr>
      <w:r>
        <w:rPr>
          <w:rFonts w:hint="eastAsia" w:eastAsia="宋体"/>
          <w:color w:val="auto"/>
          <w:sz w:val="20"/>
          <w:szCs w:val="20"/>
          <w:highlight w:val="none"/>
          <w:lang w:val="en-US" w:eastAsia="zh-CN"/>
        </w:rPr>
        <w:t xml:space="preserve">For intra-f measurement outside the gap, since it has been approved that CA/DC related requirement is not applicable to R18 ATG in [3], so </w:t>
      </w:r>
      <w:r>
        <w:rPr>
          <w:sz w:val="20"/>
          <w:szCs w:val="20"/>
        </w:rPr>
        <w:t>CSSF</w:t>
      </w:r>
      <w:r>
        <w:rPr>
          <w:sz w:val="20"/>
          <w:szCs w:val="20"/>
          <w:vertAlign w:val="subscript"/>
        </w:rPr>
        <w:t xml:space="preserve">outside_gap,i </w:t>
      </w:r>
      <w:r>
        <w:rPr>
          <w:sz w:val="20"/>
          <w:szCs w:val="20"/>
        </w:rPr>
        <w:t>=</w:t>
      </w:r>
      <w:r>
        <w:rPr>
          <w:rFonts w:hint="eastAsia"/>
          <w:sz w:val="20"/>
          <w:szCs w:val="20"/>
        </w:rPr>
        <w:t>1</w:t>
      </w:r>
      <w:r>
        <w:rPr>
          <w:rFonts w:hint="eastAsia" w:eastAsia="宋体"/>
          <w:sz w:val="20"/>
          <w:szCs w:val="20"/>
          <w:lang w:val="en-US" w:eastAsia="zh-CN"/>
        </w:rPr>
        <w:t xml:space="preserve"> due to not any MO in SCC to share the single searcher.</w:t>
      </w:r>
    </w:p>
    <w:p>
      <w:pPr>
        <w:pStyle w:val="4"/>
        <w:numPr>
          <w:ilvl w:val="0"/>
          <w:numId w:val="0"/>
        </w:numPr>
        <w:ind w:leftChars="0"/>
        <w:jc w:val="both"/>
        <w:rPr>
          <w:rFonts w:hint="eastAsia" w:eastAsia="宋体"/>
          <w:sz w:val="20"/>
          <w:szCs w:val="20"/>
          <w:lang w:val="en-US" w:eastAsia="zh-CN"/>
        </w:rPr>
      </w:pPr>
      <w:r>
        <w:rPr>
          <w:rFonts w:hint="eastAsia" w:eastAsia="宋体"/>
          <w:sz w:val="20"/>
          <w:szCs w:val="20"/>
          <w:lang w:val="en-US" w:eastAsia="zh-CN"/>
        </w:rPr>
        <w:t xml:space="preserve">For inter-f measurement outside the gap, </w:t>
      </w:r>
      <w:r>
        <w:rPr>
          <w:sz w:val="20"/>
          <w:szCs w:val="20"/>
        </w:rPr>
        <w:t>CSSF</w:t>
      </w:r>
      <w:r>
        <w:rPr>
          <w:sz w:val="20"/>
          <w:szCs w:val="20"/>
          <w:vertAlign w:val="subscript"/>
        </w:rPr>
        <w:t xml:space="preserve">outside_gap,i </w:t>
      </w:r>
      <w:r>
        <w:rPr>
          <w:sz w:val="20"/>
          <w:szCs w:val="20"/>
        </w:rPr>
        <w:t>=</w:t>
      </w:r>
      <w:r>
        <w:rPr>
          <w:rFonts w:hint="eastAsia" w:eastAsia="宋体"/>
          <w:sz w:val="20"/>
          <w:szCs w:val="20"/>
          <w:lang w:val="en-US" w:eastAsia="zh-CN"/>
        </w:rPr>
        <w:t>Y same reason as inter-f measurement out the gap.</w:t>
      </w:r>
    </w:p>
    <w:p>
      <w:pPr>
        <w:pStyle w:val="4"/>
        <w:numPr>
          <w:ilvl w:val="0"/>
          <w:numId w:val="0"/>
        </w:numPr>
        <w:ind w:leftChars="0"/>
        <w:jc w:val="both"/>
        <w:rPr>
          <w:rFonts w:hint="eastAsia" w:eastAsia="宋体"/>
          <w:sz w:val="20"/>
          <w:szCs w:val="20"/>
          <w:lang w:val="en-US" w:eastAsia="zh-CN"/>
        </w:rPr>
      </w:pPr>
      <w:r>
        <w:rPr>
          <w:rFonts w:hint="eastAsia" w:eastAsia="宋体"/>
          <w:sz w:val="20"/>
          <w:szCs w:val="20"/>
          <w:lang w:val="en-US" w:eastAsia="zh-CN"/>
        </w:rPr>
        <w:t>The above analysis are all based on the assumption that no need to consider CSI-RS based RRM measurement in ATG since we can not see the motivation to support CSI-RS based RRM measurement in such high speed moving scenario.</w:t>
      </w:r>
    </w:p>
    <w:p>
      <w:pPr>
        <w:pStyle w:val="4"/>
        <w:numPr>
          <w:ilvl w:val="0"/>
          <w:numId w:val="0"/>
        </w:numPr>
        <w:ind w:leftChars="0"/>
        <w:jc w:val="both"/>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2: With the assumption of not considering CSI-RS based RRM measurement, since CA/DC is not supported in R18 ATG, so for intra-f measurement outside the gap, </w:t>
      </w:r>
      <w:r>
        <w:rPr>
          <w:b/>
          <w:bCs/>
          <w:sz w:val="20"/>
          <w:szCs w:val="20"/>
        </w:rPr>
        <w:t>CSSF</w:t>
      </w:r>
      <w:r>
        <w:rPr>
          <w:b/>
          <w:bCs/>
          <w:sz w:val="20"/>
          <w:szCs w:val="20"/>
          <w:vertAlign w:val="subscript"/>
        </w:rPr>
        <w:t xml:space="preserve">outside_gap,i </w:t>
      </w:r>
      <w:r>
        <w:rPr>
          <w:rFonts w:hint="eastAsia" w:eastAsia="宋体" w:cs="Times New Roman"/>
          <w:b/>
          <w:bCs/>
          <w:color w:val="auto"/>
          <w:sz w:val="20"/>
          <w:szCs w:val="20"/>
          <w:highlight w:val="none"/>
          <w:lang w:val="en-US" w:eastAsia="zh-CN" w:bidi="ar-SA"/>
        </w:rPr>
        <w:t xml:space="preserve">=1; For inter-f measurement outside the gap, </w:t>
      </w:r>
      <w:r>
        <w:rPr>
          <w:b/>
          <w:bCs/>
          <w:sz w:val="20"/>
          <w:szCs w:val="20"/>
        </w:rPr>
        <w:t>CSSF</w:t>
      </w:r>
      <w:r>
        <w:rPr>
          <w:b/>
          <w:bCs/>
          <w:sz w:val="20"/>
          <w:szCs w:val="20"/>
          <w:vertAlign w:val="subscript"/>
        </w:rPr>
        <w:t xml:space="preserve">outside_gap,i </w:t>
      </w:r>
      <w:r>
        <w:rPr>
          <w:b/>
          <w:bCs/>
          <w:sz w:val="20"/>
          <w:szCs w:val="20"/>
        </w:rPr>
        <w:t>=</w:t>
      </w:r>
      <w:r>
        <w:rPr>
          <w:rFonts w:hint="eastAsia" w:eastAsia="宋体"/>
          <w:b/>
          <w:bCs/>
          <w:sz w:val="20"/>
          <w:szCs w:val="20"/>
          <w:lang w:val="en-US" w:eastAsia="zh-CN"/>
        </w:rPr>
        <w:t>Y based on the approved 2 searchers assumption.</w:t>
      </w:r>
    </w:p>
    <w:p>
      <w:pPr>
        <w:pStyle w:val="4"/>
        <w:jc w:val="both"/>
        <w:rPr>
          <w:rFonts w:hint="eastAsia" w:eastAsia="宋体"/>
          <w:color w:val="auto"/>
          <w:sz w:val="20"/>
          <w:szCs w:val="20"/>
          <w:highlight w:val="none"/>
          <w:u w:val="single"/>
          <w:lang w:val="en-US" w:eastAsia="zh-CN"/>
        </w:rPr>
      </w:pPr>
      <w:r>
        <w:rPr>
          <w:rFonts w:hint="eastAsia" w:eastAsia="宋体"/>
          <w:color w:val="auto"/>
          <w:sz w:val="20"/>
          <w:szCs w:val="20"/>
          <w:highlight w:val="none"/>
          <w:u w:val="single"/>
          <w:lang w:val="en-US" w:eastAsia="zh-CN"/>
        </w:rPr>
        <w:t>Intra-frequency measurement requirements</w:t>
      </w:r>
    </w:p>
    <w:p>
      <w:pPr>
        <w:pStyle w:val="4"/>
        <w:jc w:val="both"/>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The following options were proposed in last meeting:</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pStyle w:val="28"/>
              <w:numPr>
                <w:ilvl w:val="0"/>
                <w:numId w:val="5"/>
              </w:numPr>
              <w:spacing w:after="120"/>
              <w:ind w:firstLineChars="0"/>
              <w:rPr>
                <w:rFonts w:eastAsia="宋体"/>
                <w:sz w:val="20"/>
                <w:szCs w:val="20"/>
              </w:rPr>
            </w:pPr>
            <w:r>
              <w:rPr>
                <w:rFonts w:eastAsia="宋体"/>
                <w:sz w:val="20"/>
                <w:szCs w:val="20"/>
              </w:rPr>
              <w:t>Option 1: The legacy NR intra-frequency measurements requirement can be reused</w:t>
            </w:r>
          </w:p>
          <w:p>
            <w:pPr>
              <w:pStyle w:val="28"/>
              <w:numPr>
                <w:ilvl w:val="0"/>
                <w:numId w:val="5"/>
              </w:numPr>
              <w:spacing w:after="120"/>
              <w:ind w:firstLineChars="0"/>
              <w:rPr>
                <w:rFonts w:eastAsia="宋体"/>
                <w:sz w:val="20"/>
                <w:szCs w:val="20"/>
              </w:rPr>
            </w:pPr>
            <w:r>
              <w:rPr>
                <w:rFonts w:eastAsia="宋体"/>
                <w:sz w:val="20"/>
                <w:szCs w:val="20"/>
              </w:rPr>
              <w:t>Option 2: intra-frequency measurement with gap will not be considered for R18 ATG</w:t>
            </w:r>
          </w:p>
          <w:p>
            <w:pPr>
              <w:pStyle w:val="28"/>
              <w:numPr>
                <w:ilvl w:val="0"/>
                <w:numId w:val="5"/>
              </w:numPr>
              <w:spacing w:after="120"/>
              <w:ind w:firstLineChars="0"/>
              <w:rPr>
                <w:rFonts w:eastAsia="宋体"/>
                <w:sz w:val="20"/>
                <w:szCs w:val="20"/>
              </w:rPr>
            </w:pPr>
            <w:r>
              <w:rPr>
                <w:rFonts w:eastAsia="宋体"/>
                <w:sz w:val="20"/>
                <w:szCs w:val="20"/>
              </w:rPr>
              <w:t>Option 3: postpone the discussion on measurement requirement until we conclude measurement GAP, measurement capability an CSSF</w:t>
            </w:r>
          </w:p>
          <w:p>
            <w:pPr>
              <w:pStyle w:val="28"/>
              <w:numPr>
                <w:ilvl w:val="0"/>
                <w:numId w:val="5"/>
              </w:numPr>
              <w:spacing w:after="120"/>
              <w:ind w:firstLineChars="0"/>
              <w:rPr>
                <w:rFonts w:hint="default"/>
                <w:vertAlign w:val="baseline"/>
                <w:lang w:val="en-US" w:eastAsia="zh-CN"/>
              </w:rPr>
            </w:pPr>
            <w:r>
              <w:rPr>
                <w:sz w:val="20"/>
                <w:szCs w:val="20"/>
              </w:rPr>
              <w:t xml:space="preserve">Option 4: RAN4 not to consider deactivated SCell measurement, SCCs measurement, and PSCell measurement. </w:t>
            </w:r>
          </w:p>
        </w:tc>
      </w:tr>
    </w:tbl>
    <w:p>
      <w:pPr>
        <w:pStyle w:val="4"/>
        <w:jc w:val="both"/>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In our opinion, no need to exclude any case for intra-frequency measurement. So both intra-frequency measurement with gap and without gap should be supported in ATG. Regarding to the requirements, just reuse the legacy requirements is fine.</w:t>
      </w:r>
    </w:p>
    <w:p>
      <w:pPr>
        <w:pStyle w:val="4"/>
        <w:numPr>
          <w:ilvl w:val="0"/>
          <w:numId w:val="0"/>
        </w:numPr>
        <w:ind w:leftChars="0"/>
        <w:jc w:val="both"/>
        <w:rPr>
          <w:rFonts w:hint="default" w:eastAsia="宋体"/>
          <w:color w:val="auto"/>
          <w:sz w:val="20"/>
          <w:szCs w:val="20"/>
          <w:highlight w:val="none"/>
          <w:lang w:val="en-US" w:eastAsia="zh-CN"/>
        </w:rPr>
      </w:pPr>
      <w:r>
        <w:rPr>
          <w:rFonts w:hint="eastAsia" w:eastAsia="宋体" w:cs="Times New Roman"/>
          <w:b/>
          <w:bCs/>
          <w:color w:val="auto"/>
          <w:sz w:val="20"/>
          <w:szCs w:val="20"/>
          <w:highlight w:val="none"/>
          <w:lang w:val="en-US" w:eastAsia="zh-CN" w:bidi="ar-SA"/>
        </w:rPr>
        <w:t>Proposal 3: Both intra-frequency measurement with gap and without gap can be supported in ATG. Reusing the legacy requirements is fine.</w:t>
      </w:r>
    </w:p>
    <w:p>
      <w:pPr>
        <w:pStyle w:val="4"/>
        <w:jc w:val="both"/>
        <w:rPr>
          <w:rFonts w:hint="eastAsia" w:eastAsia="宋体"/>
          <w:color w:val="auto"/>
          <w:sz w:val="20"/>
          <w:szCs w:val="20"/>
          <w:highlight w:val="none"/>
          <w:u w:val="single"/>
          <w:lang w:val="en-US" w:eastAsia="zh-CN"/>
        </w:rPr>
      </w:pPr>
      <w:r>
        <w:rPr>
          <w:rFonts w:hint="eastAsia" w:eastAsia="宋体"/>
          <w:color w:val="auto"/>
          <w:sz w:val="20"/>
          <w:szCs w:val="20"/>
          <w:highlight w:val="none"/>
          <w:u w:val="single"/>
          <w:lang w:val="en-US" w:eastAsia="zh-CN"/>
        </w:rPr>
        <w:t>Inter-frequency measurement requirements</w:t>
      </w:r>
    </w:p>
    <w:p>
      <w:pPr>
        <w:pStyle w:val="4"/>
        <w:jc w:val="both"/>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Regarding to the inter-frequency measurement, the following options were proposed in last meeting:</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pStyle w:val="28"/>
              <w:numPr>
                <w:ilvl w:val="0"/>
                <w:numId w:val="5"/>
              </w:numPr>
              <w:spacing w:after="120"/>
              <w:ind w:firstLineChars="0"/>
              <w:rPr>
                <w:rFonts w:eastAsia="宋体"/>
                <w:sz w:val="20"/>
                <w:szCs w:val="20"/>
              </w:rPr>
            </w:pPr>
            <w:r>
              <w:rPr>
                <w:rFonts w:eastAsia="宋体"/>
                <w:sz w:val="20"/>
                <w:szCs w:val="20"/>
              </w:rPr>
              <w:t xml:space="preserve">Option 1: The legacy NR inter-frequency measurements requirement can be reused for R18 ATG. </w:t>
            </w:r>
          </w:p>
          <w:p>
            <w:pPr>
              <w:pStyle w:val="28"/>
              <w:numPr>
                <w:ilvl w:val="0"/>
                <w:numId w:val="5"/>
              </w:numPr>
              <w:spacing w:after="120"/>
              <w:ind w:firstLineChars="0"/>
              <w:rPr>
                <w:rFonts w:eastAsia="宋体"/>
                <w:sz w:val="20"/>
                <w:szCs w:val="20"/>
              </w:rPr>
            </w:pPr>
            <w:r>
              <w:rPr>
                <w:rFonts w:eastAsia="宋体"/>
                <w:sz w:val="20"/>
                <w:szCs w:val="20"/>
              </w:rPr>
              <w:t xml:space="preserve">Option 2: postpone the discussion on measurement requirement until we conclude measurement GAP, measurement capability an CSSF </w:t>
            </w:r>
          </w:p>
          <w:p>
            <w:pPr>
              <w:pStyle w:val="28"/>
              <w:numPr>
                <w:ilvl w:val="0"/>
                <w:numId w:val="5"/>
              </w:numPr>
              <w:spacing w:after="120"/>
              <w:ind w:firstLineChars="0"/>
              <w:rPr>
                <w:rFonts w:hint="eastAsia"/>
                <w:vertAlign w:val="baseline"/>
                <w:lang w:val="en-US" w:eastAsia="zh-CN"/>
              </w:rPr>
            </w:pPr>
            <w:r>
              <w:rPr>
                <w:rFonts w:eastAsia="宋体"/>
                <w:sz w:val="20"/>
                <w:szCs w:val="20"/>
              </w:rPr>
              <w:t xml:space="preserve">Option 3: RAN4 to study the trade-off between Inter-frequency measurement with gap and the data throughput due to large cell coverage. </w:t>
            </w:r>
          </w:p>
        </w:tc>
      </w:tr>
    </w:tbl>
    <w:p>
      <w:pPr>
        <w:pStyle w:val="4"/>
        <w:jc w:val="both"/>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From the perspective of gap, we can not see any excuse to exclude any case between inter-frequency measurement with gap and without gap. So when we identify measurement gap and CSSF, both inter-frequency measurement with gap and without gap should be considered as our analysis above. Regarding to the requirements, except for CSSF, other legacy requirements all can be reused.</w:t>
      </w:r>
    </w:p>
    <w:p>
      <w:pPr>
        <w:pStyle w:val="4"/>
        <w:numPr>
          <w:ilvl w:val="0"/>
          <w:numId w:val="0"/>
        </w:numPr>
        <w:ind w:leftChars="0"/>
        <w:jc w:val="both"/>
        <w:rPr>
          <w:rFonts w:hint="default" w:eastAsia="宋体"/>
          <w:sz w:val="20"/>
          <w:szCs w:val="20"/>
          <w:lang w:val="en-US" w:eastAsia="zh-CN"/>
        </w:rPr>
      </w:pPr>
      <w:r>
        <w:rPr>
          <w:rFonts w:hint="eastAsia" w:eastAsia="宋体" w:cs="Times New Roman"/>
          <w:b/>
          <w:bCs/>
          <w:color w:val="auto"/>
          <w:sz w:val="20"/>
          <w:szCs w:val="20"/>
          <w:highlight w:val="none"/>
          <w:lang w:val="en-US" w:eastAsia="zh-CN" w:bidi="ar-SA"/>
        </w:rPr>
        <w:t>Proposal 4: When we identify measurement gap and CSSF, both inter-frequency measurement with gap and without gap should be considered. Regarding to the requirements, except for CSSF, other legacy requirements all can be reused.</w:t>
      </w:r>
    </w:p>
    <w:p>
      <w:pPr>
        <w:pStyle w:val="4"/>
        <w:jc w:val="both"/>
        <w:rPr>
          <w:rFonts w:hint="eastAsia" w:eastAsia="宋体"/>
          <w:color w:val="auto"/>
          <w:sz w:val="20"/>
          <w:szCs w:val="20"/>
          <w:highlight w:val="none"/>
          <w:u w:val="single"/>
          <w:lang w:val="en-US" w:eastAsia="zh-CN"/>
        </w:rPr>
      </w:pPr>
      <w:r>
        <w:rPr>
          <w:rFonts w:hint="eastAsia" w:eastAsia="宋体"/>
          <w:color w:val="auto"/>
          <w:sz w:val="20"/>
          <w:szCs w:val="20"/>
          <w:highlight w:val="none"/>
          <w:u w:val="single"/>
          <w:lang w:val="en-US" w:eastAsia="zh-CN"/>
        </w:rPr>
        <w:t>Pre-configured measurement gap</w:t>
      </w:r>
    </w:p>
    <w:p>
      <w:pPr>
        <w:pStyle w:val="4"/>
        <w:jc w:val="both"/>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During last meeting, the following options were proposed:</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pStyle w:val="28"/>
              <w:numPr>
                <w:ilvl w:val="0"/>
                <w:numId w:val="5"/>
              </w:numPr>
              <w:spacing w:after="120"/>
              <w:ind w:firstLineChars="0"/>
              <w:rPr>
                <w:rFonts w:eastAsia="宋体"/>
                <w:sz w:val="20"/>
                <w:szCs w:val="20"/>
              </w:rPr>
            </w:pPr>
            <w:r>
              <w:rPr>
                <w:rFonts w:eastAsia="宋体"/>
                <w:sz w:val="20"/>
                <w:szCs w:val="20"/>
              </w:rPr>
              <w:t>Option 1: No need to introduce the pre-configured measurement gap for R18 ATG.</w:t>
            </w:r>
          </w:p>
          <w:p>
            <w:pPr>
              <w:pStyle w:val="28"/>
              <w:numPr>
                <w:ilvl w:val="0"/>
                <w:numId w:val="5"/>
              </w:numPr>
              <w:spacing w:after="120"/>
              <w:ind w:firstLineChars="0"/>
              <w:rPr>
                <w:rFonts w:eastAsia="宋体"/>
                <w:sz w:val="20"/>
                <w:szCs w:val="20"/>
              </w:rPr>
            </w:pPr>
            <w:r>
              <w:rPr>
                <w:rFonts w:eastAsia="宋体"/>
                <w:sz w:val="20"/>
                <w:szCs w:val="20"/>
              </w:rPr>
              <w:t xml:space="preserve">Option 2: Postpone pre-configured measurement gap to future release </w:t>
            </w:r>
          </w:p>
          <w:p>
            <w:pPr>
              <w:pStyle w:val="28"/>
              <w:numPr>
                <w:ilvl w:val="0"/>
                <w:numId w:val="5"/>
              </w:numPr>
              <w:spacing w:after="120"/>
              <w:ind w:firstLineChars="0"/>
              <w:rPr>
                <w:rFonts w:hint="default"/>
                <w:vertAlign w:val="baseline"/>
                <w:lang w:val="en-US" w:eastAsia="zh-CN"/>
              </w:rPr>
            </w:pPr>
            <w:r>
              <w:rPr>
                <w:rFonts w:hint="eastAsia" w:eastAsia="宋体"/>
                <w:sz w:val="20"/>
                <w:szCs w:val="20"/>
              </w:rPr>
              <w:t>O</w:t>
            </w:r>
            <w:r>
              <w:rPr>
                <w:rFonts w:eastAsia="宋体"/>
                <w:sz w:val="20"/>
                <w:szCs w:val="20"/>
              </w:rPr>
              <w:t xml:space="preserve">ption 3: Pre-MG can be used in ATG network to improve the total system performance. </w:t>
            </w:r>
          </w:p>
        </w:tc>
      </w:tr>
    </w:tbl>
    <w:p>
      <w:pPr>
        <w:pStyle w:val="4"/>
        <w:jc w:val="both"/>
        <w:rPr>
          <w:rFonts w:hint="default" w:eastAsia="宋体"/>
          <w:color w:val="auto"/>
          <w:sz w:val="20"/>
          <w:szCs w:val="20"/>
          <w:highlight w:val="none"/>
          <w:lang w:val="en-US" w:eastAsia="zh-CN"/>
        </w:rPr>
      </w:pPr>
    </w:p>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 xml:space="preserve">We can not see the necessity of supporting pre-configured measurement gap for ATG network. Pre-configured measurement gap is some optimization with the dynamic or semi-static activation/deactivation mechanism. So in our opinion, for the case in which the active BWP would frequently update or the MO would be re-configured frequently, pre-configured measurement gap is very useful since of which would avoid the unnecessary interruption even UE can perform measurement without gap. But ATG is not any one of the cases, so we do not believe pre-configured measurement gap should be introduced to ATG network. </w:t>
      </w:r>
    </w:p>
    <w:p>
      <w:pPr>
        <w:pStyle w:val="4"/>
        <w:numPr>
          <w:ilvl w:val="0"/>
          <w:numId w:val="0"/>
        </w:numPr>
        <w:ind w:leftChars="0"/>
        <w:jc w:val="both"/>
        <w:rPr>
          <w:rFonts w:hint="default" w:eastAsia="宋体"/>
          <w:color w:val="auto"/>
          <w:sz w:val="20"/>
          <w:szCs w:val="20"/>
          <w:highlight w:val="none"/>
          <w:u w:val="single"/>
          <w:lang w:val="en-US" w:eastAsia="zh-CN"/>
        </w:rPr>
      </w:pPr>
      <w:r>
        <w:rPr>
          <w:rFonts w:hint="eastAsia" w:eastAsia="宋体" w:cs="Times New Roman"/>
          <w:b/>
          <w:bCs/>
          <w:color w:val="auto"/>
          <w:sz w:val="20"/>
          <w:szCs w:val="20"/>
          <w:highlight w:val="none"/>
          <w:lang w:val="en-US" w:eastAsia="zh-CN" w:bidi="ar-SA"/>
        </w:rPr>
        <w:t xml:space="preserve">Proposal 5: We do not believe pre-configured measurement gap should be introduced to ATG network. </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4"/>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 proposals</w:t>
      </w:r>
      <w:r>
        <w:rPr>
          <w:rFonts w:hint="eastAsia" w:eastAsia="宋体"/>
          <w:bCs/>
          <w:color w:val="auto"/>
          <w:sz w:val="20"/>
          <w:szCs w:val="20"/>
          <w:lang w:val="en-US" w:eastAsia="zh-CN"/>
        </w:rPr>
        <w:t xml:space="preserve"> </w:t>
      </w:r>
      <w:r>
        <w:rPr>
          <w:rFonts w:eastAsia="宋体"/>
          <w:bCs/>
          <w:color w:val="auto"/>
          <w:sz w:val="20"/>
          <w:szCs w:val="20"/>
          <w:lang w:val="en-GB" w:eastAsia="zh-CN"/>
        </w:rPr>
        <w:t xml:space="preserve">for </w:t>
      </w:r>
      <w:r>
        <w:rPr>
          <w:rFonts w:hint="eastAsia" w:eastAsia="宋体"/>
          <w:bCs/>
          <w:color w:val="auto"/>
          <w:sz w:val="20"/>
          <w:szCs w:val="20"/>
          <w:lang w:val="en-US" w:eastAsia="zh-CN"/>
        </w:rPr>
        <w:t>the measurement requirements for ATG system</w:t>
      </w:r>
      <w:r>
        <w:rPr>
          <w:rFonts w:eastAsia="宋体"/>
          <w:bCs/>
          <w:color w:val="auto"/>
          <w:sz w:val="20"/>
          <w:szCs w:val="20"/>
          <w:lang w:val="en-GB" w:eastAsia="zh-CN"/>
        </w:rPr>
        <w:t>:</w:t>
      </w:r>
    </w:p>
    <w:p>
      <w:pPr>
        <w:pStyle w:val="4"/>
        <w:numPr>
          <w:ilvl w:val="0"/>
          <w:numId w:val="0"/>
        </w:numPr>
        <w:ind w:leftChars="0"/>
        <w:jc w:val="both"/>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Observation 1: Considering the assumption of maximum ISD as 200 km, current measurement gap length is basically enough to cover the propagation delay difference between two neighbour cells. </w:t>
      </w:r>
    </w:p>
    <w:p>
      <w:pPr>
        <w:pStyle w:val="4"/>
        <w:numPr>
          <w:ilvl w:val="0"/>
          <w:numId w:val="0"/>
        </w:numPr>
        <w:ind w:leftChars="0"/>
        <w:jc w:val="both"/>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Reuse the legacy MG requirements for R18 ATG, and only FR1 MG will be used in Rel-18 ATG network.</w:t>
      </w:r>
    </w:p>
    <w:p>
      <w:pPr>
        <w:pStyle w:val="4"/>
        <w:numPr>
          <w:ilvl w:val="0"/>
          <w:numId w:val="0"/>
        </w:numPr>
        <w:ind w:leftChars="0"/>
        <w:jc w:val="both"/>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2: With the assumption of not considering CSI-RS based RRM measurement, since CA/DC is not supported in R18 ATG, so for intra-f measurement outside the gap, </w:t>
      </w:r>
      <w:r>
        <w:rPr>
          <w:b/>
          <w:bCs/>
          <w:sz w:val="20"/>
          <w:szCs w:val="20"/>
        </w:rPr>
        <w:t>CSSF</w:t>
      </w:r>
      <w:r>
        <w:rPr>
          <w:b/>
          <w:bCs/>
          <w:sz w:val="20"/>
          <w:szCs w:val="20"/>
          <w:vertAlign w:val="subscript"/>
        </w:rPr>
        <w:t xml:space="preserve">outside_gap,i </w:t>
      </w:r>
      <w:r>
        <w:rPr>
          <w:rFonts w:hint="eastAsia" w:eastAsia="宋体" w:cs="Times New Roman"/>
          <w:b/>
          <w:bCs/>
          <w:color w:val="auto"/>
          <w:sz w:val="20"/>
          <w:szCs w:val="20"/>
          <w:highlight w:val="none"/>
          <w:lang w:val="en-US" w:eastAsia="zh-CN" w:bidi="ar-SA"/>
        </w:rPr>
        <w:t xml:space="preserve">=1; For inter-f measurement outside the gap, </w:t>
      </w:r>
      <w:r>
        <w:rPr>
          <w:b/>
          <w:bCs/>
          <w:sz w:val="20"/>
          <w:szCs w:val="20"/>
        </w:rPr>
        <w:t>CSSF</w:t>
      </w:r>
      <w:r>
        <w:rPr>
          <w:b/>
          <w:bCs/>
          <w:sz w:val="20"/>
          <w:szCs w:val="20"/>
          <w:vertAlign w:val="subscript"/>
        </w:rPr>
        <w:t xml:space="preserve">outside_gap,i </w:t>
      </w:r>
      <w:r>
        <w:rPr>
          <w:b/>
          <w:bCs/>
          <w:sz w:val="20"/>
          <w:szCs w:val="20"/>
        </w:rPr>
        <w:t>=</w:t>
      </w:r>
      <w:r>
        <w:rPr>
          <w:rFonts w:hint="eastAsia" w:eastAsia="宋体"/>
          <w:b/>
          <w:bCs/>
          <w:sz w:val="20"/>
          <w:szCs w:val="20"/>
          <w:lang w:val="en-US" w:eastAsia="zh-CN"/>
        </w:rPr>
        <w:t>Y based on the approved 2 searchers assumption.</w:t>
      </w:r>
    </w:p>
    <w:p>
      <w:pPr>
        <w:pStyle w:val="4"/>
        <w:numPr>
          <w:ilvl w:val="0"/>
          <w:numId w:val="0"/>
        </w:numPr>
        <w:ind w:leftChars="0"/>
        <w:jc w:val="both"/>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3: Both intra-frequency measurement with gap and without gap can be supported in ATG. Reusing the legacy requirements is fine.</w:t>
      </w:r>
    </w:p>
    <w:p>
      <w:pPr>
        <w:pStyle w:val="4"/>
        <w:numPr>
          <w:ilvl w:val="0"/>
          <w:numId w:val="0"/>
        </w:numPr>
        <w:ind w:leftChars="0"/>
        <w:jc w:val="both"/>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4: When we identify measurement gap and CSSF, both inter-frequency measurement with gap and without gap should be considered. Regarding to the requirements, except for CSSF, other legacy requirements all can be reused.</w:t>
      </w:r>
    </w:p>
    <w:p>
      <w:pPr>
        <w:pStyle w:val="4"/>
        <w:numPr>
          <w:ilvl w:val="0"/>
          <w:numId w:val="0"/>
        </w:numPr>
        <w:ind w:leftChars="0"/>
        <w:jc w:val="both"/>
        <w:rPr>
          <w:rFonts w:hint="default" w:eastAsia="宋体"/>
          <w:color w:val="auto"/>
          <w:sz w:val="20"/>
          <w:szCs w:val="20"/>
          <w:highlight w:val="none"/>
          <w:u w:val="single"/>
          <w:lang w:val="en-US" w:eastAsia="zh-CN"/>
        </w:rPr>
      </w:pPr>
      <w:r>
        <w:rPr>
          <w:rFonts w:hint="eastAsia" w:eastAsia="宋体" w:cs="Times New Roman"/>
          <w:b/>
          <w:bCs/>
          <w:color w:val="auto"/>
          <w:sz w:val="20"/>
          <w:szCs w:val="20"/>
          <w:highlight w:val="none"/>
          <w:lang w:val="en-US" w:eastAsia="zh-CN" w:bidi="ar-SA"/>
        </w:rPr>
        <w:t xml:space="preserve">Proposal 5: We do not believe pre-configured measurement gap should be introduced to ATG network. </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8"/>
        </w:numPr>
        <w:ind w:leftChars="0"/>
        <w:rPr>
          <w:rFonts w:hint="default" w:eastAsia="宋体"/>
          <w:color w:val="auto"/>
          <w:lang w:val="en-US" w:eastAsia="zh-CN"/>
        </w:rPr>
      </w:pPr>
      <w:r>
        <w:rPr>
          <w:rFonts w:hint="eastAsia"/>
          <w:lang w:val="en-US" w:eastAsia="zh-CN"/>
        </w:rPr>
        <w:t>RP-22</w:t>
      </w:r>
      <w:r>
        <w:rPr>
          <w:rFonts w:hint="eastAsia"/>
          <w:highlight w:val="none"/>
          <w:lang w:val="en-US" w:eastAsia="zh-CN"/>
        </w:rPr>
        <w:t>1369</w:t>
      </w:r>
      <w:r>
        <w:rPr>
          <w:rFonts w:hint="eastAsia"/>
          <w:color w:val="auto"/>
          <w:highlight w:val="none"/>
          <w:lang w:val="en-US" w:eastAsia="zh-CN"/>
        </w:rPr>
        <w:t xml:space="preserve"> </w:t>
      </w:r>
      <w:r>
        <w:rPr>
          <w:rFonts w:hint="default"/>
          <w:color w:val="auto"/>
          <w:highlight w:val="none"/>
          <w:lang w:val="en-US" w:eastAsia="zh-CN"/>
        </w:rPr>
        <w:t>“</w:t>
      </w:r>
      <w:r>
        <w:rPr>
          <w:rFonts w:hint="eastAsia"/>
          <w:color w:val="auto"/>
          <w:highlight w:val="none"/>
          <w:lang w:val="en-US" w:eastAsia="zh-CN"/>
        </w:rPr>
        <w:t>Revised WID on Air-to-ground network for NR</w:t>
      </w:r>
      <w:r>
        <w:rPr>
          <w:rFonts w:hint="default"/>
          <w:color w:val="auto"/>
          <w:highlight w:val="none"/>
          <w:lang w:val="en-US" w:eastAsia="zh-CN"/>
        </w:rPr>
        <w:t>”</w:t>
      </w:r>
      <w:r>
        <w:rPr>
          <w:rFonts w:hint="eastAsia"/>
          <w:color w:val="auto"/>
          <w:highlight w:val="none"/>
          <w:lang w:val="en-US" w:eastAsia="zh-CN"/>
        </w:rPr>
        <w:t xml:space="preserve">, CMCC </w:t>
      </w:r>
    </w:p>
    <w:p>
      <w:pPr>
        <w:pStyle w:val="9"/>
        <w:numPr>
          <w:ilvl w:val="0"/>
          <w:numId w:val="8"/>
        </w:numPr>
        <w:ind w:left="0" w:leftChars="0" w:firstLine="0" w:firstLineChars="0"/>
        <w:rPr>
          <w:rFonts w:hint="eastAsia"/>
          <w:color w:val="auto"/>
          <w:lang w:val="en-US" w:eastAsia="zh-CN"/>
        </w:rPr>
      </w:pPr>
      <w:r>
        <w:rPr>
          <w:rFonts w:hint="eastAsia"/>
          <w:color w:val="auto"/>
          <w:lang w:val="en-US" w:eastAsia="zh-CN"/>
        </w:rPr>
        <w:t xml:space="preserve">RP-2220361 </w:t>
      </w:r>
      <w:r>
        <w:rPr>
          <w:rFonts w:hint="default"/>
          <w:color w:val="auto"/>
          <w:lang w:val="en-US" w:eastAsia="zh-CN"/>
        </w:rPr>
        <w:t>“</w:t>
      </w:r>
      <w:bookmarkStart w:id="0" w:name="_Hlk41145953"/>
      <w:r>
        <w:rPr>
          <w:rFonts w:hint="default"/>
          <w:color w:val="auto"/>
          <w:lang w:val="en-US" w:eastAsia="zh-CN"/>
        </w:rPr>
        <w:t>WF on NR ATG RRM</w:t>
      </w:r>
      <w:bookmarkEnd w:id="0"/>
      <w:r>
        <w:rPr>
          <w:rFonts w:hint="default"/>
          <w:color w:val="auto"/>
          <w:lang w:val="en-US" w:eastAsia="zh-CN"/>
        </w:rPr>
        <w:t xml:space="preserve"> requirements”</w:t>
      </w:r>
      <w:r>
        <w:rPr>
          <w:rFonts w:hint="eastAsia"/>
          <w:color w:val="auto"/>
          <w:lang w:val="en-US" w:eastAsia="zh-CN"/>
        </w:rPr>
        <w:t>, CMCC</w:t>
      </w:r>
    </w:p>
    <w:p>
      <w:pPr>
        <w:pStyle w:val="9"/>
        <w:numPr>
          <w:ilvl w:val="0"/>
          <w:numId w:val="8"/>
        </w:numPr>
        <w:ind w:left="0" w:leftChars="0" w:firstLine="0" w:firstLineChars="0"/>
        <w:rPr>
          <w:rFonts w:hint="eastAsia"/>
          <w:color w:val="auto"/>
          <w:lang w:val="en-US" w:eastAsia="zh-CN"/>
        </w:rPr>
      </w:pPr>
      <w:r>
        <w:rPr>
          <w:rFonts w:hint="eastAsia"/>
          <w:color w:val="auto"/>
          <w:lang w:val="en-US" w:eastAsia="zh-CN"/>
        </w:rPr>
        <w:t xml:space="preserve">RP-2214347 </w:t>
      </w:r>
      <w:r>
        <w:rPr>
          <w:rFonts w:hint="default"/>
          <w:color w:val="auto"/>
          <w:lang w:val="en-US" w:eastAsia="zh-CN"/>
        </w:rPr>
        <w:t>“WF on NR ATG RRM requirements”</w:t>
      </w:r>
      <w:r>
        <w:rPr>
          <w:rFonts w:hint="eastAsia"/>
          <w:color w:val="auto"/>
          <w:lang w:val="en-US" w:eastAsia="zh-CN"/>
        </w:rPr>
        <w:t>, CMCC</w:t>
      </w:r>
    </w:p>
    <w:p>
      <w:pPr>
        <w:pStyle w:val="9"/>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E88E5B"/>
    <w:multiLevelType w:val="singleLevel"/>
    <w:tmpl w:val="81E88E5B"/>
    <w:lvl w:ilvl="0" w:tentative="0">
      <w:start w:val="1"/>
      <w:numFmt w:val="decimal"/>
      <w:suff w:val="space"/>
      <w:lvlText w:val="[%1]"/>
      <w:lvlJc w:val="left"/>
    </w:lvl>
  </w:abstractNum>
  <w:abstractNum w:abstractNumId="1">
    <w:nsid w:val="9AD97BC7"/>
    <w:multiLevelType w:val="singleLevel"/>
    <w:tmpl w:val="9AD97BC7"/>
    <w:lvl w:ilvl="0" w:tentative="0">
      <w:start w:val="1"/>
      <w:numFmt w:val="bullet"/>
      <w:lvlText w:val=""/>
      <w:lvlJc w:val="left"/>
      <w:pPr>
        <w:ind w:left="420" w:hanging="420"/>
      </w:pPr>
      <w:rPr>
        <w:rFonts w:hint="default" w:ascii="Wingdings" w:hAnsi="Wingdings"/>
      </w:rPr>
    </w:lvl>
  </w:abstractNum>
  <w:abstractNum w:abstractNumId="2">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3DCA40B1"/>
    <w:multiLevelType w:val="multilevel"/>
    <w:tmpl w:val="3DCA40B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Symbol" w:hAnsi="Symbol"/>
      </w:rPr>
    </w:lvl>
    <w:lvl w:ilvl="2" w:tentative="0">
      <w:start w:val="1"/>
      <w:numFmt w:val="bullet"/>
      <w:lvlText w:val="–"/>
      <w:lvlJc w:val="left"/>
      <w:pPr>
        <w:ind w:left="1260" w:hanging="420"/>
      </w:pPr>
      <w:rPr>
        <w:rFonts w:hint="default" w:ascii="Arial" w:hAnsi="Arial"/>
      </w:rPr>
    </w:lvl>
    <w:lvl w:ilvl="3" w:tentative="0">
      <w:start w:val="1"/>
      <w:numFmt w:val="bullet"/>
      <w:lvlText w:val="-"/>
      <w:lvlJc w:val="left"/>
      <w:pPr>
        <w:ind w:left="1680" w:hanging="420"/>
      </w:pPr>
      <w:rPr>
        <w:rFonts w:hint="default" w:ascii="Times New Roman" w:hAnsi="Times New Roman" w:eastAsia="宋体" w:cs="Times New Roman"/>
      </w:rPr>
    </w:lvl>
    <w:lvl w:ilvl="4" w:tentative="0">
      <w:start w:val="1"/>
      <w:numFmt w:val="bullet"/>
      <w:lvlText w:val="o"/>
      <w:lvlJc w:val="left"/>
      <w:pPr>
        <w:ind w:left="2100" w:hanging="420"/>
      </w:pPr>
      <w:rPr>
        <w:rFonts w:hint="default" w:ascii="Courier New" w:hAnsi="Courier New" w:cs="Courier New"/>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3E50CD3B"/>
    <w:multiLevelType w:val="singleLevel"/>
    <w:tmpl w:val="3E50CD3B"/>
    <w:lvl w:ilvl="0" w:tentative="0">
      <w:start w:val="1"/>
      <w:numFmt w:val="bullet"/>
      <w:lvlText w:val=""/>
      <w:lvlJc w:val="left"/>
      <w:pPr>
        <w:ind w:left="420" w:hanging="420"/>
      </w:pPr>
      <w:rPr>
        <w:rFonts w:hint="default" w:ascii="Wingdings" w:hAnsi="Wingdings"/>
      </w:rPr>
    </w:lvl>
  </w:abstractNum>
  <w:abstractNum w:abstractNumId="5">
    <w:nsid w:val="4D6E3167"/>
    <w:multiLevelType w:val="multilevel"/>
    <w:tmpl w:val="4D6E3167"/>
    <w:lvl w:ilvl="0" w:tentative="0">
      <w:start w:val="1"/>
      <w:numFmt w:val="decimal"/>
      <w:pStyle w:val="42"/>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7">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7"/>
  </w:num>
  <w:num w:numId="2">
    <w:abstractNumId w:val="5"/>
  </w:num>
  <w:num w:numId="3">
    <w:abstractNumId w:val="2"/>
  </w:num>
  <w:num w:numId="4">
    <w:abstractNumId w:val="3"/>
  </w:num>
  <w:num w:numId="5">
    <w:abstractNumId w:val="6"/>
  </w:num>
  <w:num w:numId="6">
    <w:abstractNumId w:val="1"/>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3CC"/>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28B6A1D"/>
    <w:rsid w:val="028F1C3E"/>
    <w:rsid w:val="037D0CB3"/>
    <w:rsid w:val="03D4720A"/>
    <w:rsid w:val="04654053"/>
    <w:rsid w:val="04793516"/>
    <w:rsid w:val="047A3CFF"/>
    <w:rsid w:val="05000747"/>
    <w:rsid w:val="05317828"/>
    <w:rsid w:val="05477E90"/>
    <w:rsid w:val="05BB5AB9"/>
    <w:rsid w:val="05C42923"/>
    <w:rsid w:val="06226EA6"/>
    <w:rsid w:val="06963BA6"/>
    <w:rsid w:val="07CD3CDD"/>
    <w:rsid w:val="07F64CE8"/>
    <w:rsid w:val="083E6EA0"/>
    <w:rsid w:val="0855671D"/>
    <w:rsid w:val="089009EB"/>
    <w:rsid w:val="08EA2407"/>
    <w:rsid w:val="09716BCA"/>
    <w:rsid w:val="09D64B23"/>
    <w:rsid w:val="09E644B8"/>
    <w:rsid w:val="0A867423"/>
    <w:rsid w:val="0AB155C2"/>
    <w:rsid w:val="0B12013A"/>
    <w:rsid w:val="0B3D3C2F"/>
    <w:rsid w:val="0BB0429A"/>
    <w:rsid w:val="0BDD6CEC"/>
    <w:rsid w:val="0BFF5FC6"/>
    <w:rsid w:val="0C394019"/>
    <w:rsid w:val="0CD05342"/>
    <w:rsid w:val="0CDB4E5B"/>
    <w:rsid w:val="0DEE745F"/>
    <w:rsid w:val="0FAD3D1E"/>
    <w:rsid w:val="102263EF"/>
    <w:rsid w:val="10997F43"/>
    <w:rsid w:val="10DE7BAE"/>
    <w:rsid w:val="120774A3"/>
    <w:rsid w:val="12887761"/>
    <w:rsid w:val="14006D19"/>
    <w:rsid w:val="1481754F"/>
    <w:rsid w:val="148F32AB"/>
    <w:rsid w:val="148F5721"/>
    <w:rsid w:val="14AC57CD"/>
    <w:rsid w:val="15ED3E9B"/>
    <w:rsid w:val="164514BE"/>
    <w:rsid w:val="166B2EA9"/>
    <w:rsid w:val="16E73296"/>
    <w:rsid w:val="170F06AA"/>
    <w:rsid w:val="17225508"/>
    <w:rsid w:val="17B07FBC"/>
    <w:rsid w:val="180A6E32"/>
    <w:rsid w:val="183F2CD2"/>
    <w:rsid w:val="1856323E"/>
    <w:rsid w:val="18AF55E3"/>
    <w:rsid w:val="18B077E2"/>
    <w:rsid w:val="18B1519A"/>
    <w:rsid w:val="18CD0507"/>
    <w:rsid w:val="18F36BA5"/>
    <w:rsid w:val="193B6DE3"/>
    <w:rsid w:val="195D7D48"/>
    <w:rsid w:val="1AD01A1B"/>
    <w:rsid w:val="1B61065A"/>
    <w:rsid w:val="1BBF3927"/>
    <w:rsid w:val="1C177B08"/>
    <w:rsid w:val="1C9001C6"/>
    <w:rsid w:val="1CBA2101"/>
    <w:rsid w:val="1D0573D7"/>
    <w:rsid w:val="1D153DC4"/>
    <w:rsid w:val="1D223E0B"/>
    <w:rsid w:val="1D317C9F"/>
    <w:rsid w:val="1E132F88"/>
    <w:rsid w:val="1E2867E9"/>
    <w:rsid w:val="1E853F6F"/>
    <w:rsid w:val="1E9C7BCC"/>
    <w:rsid w:val="1ECC1E3C"/>
    <w:rsid w:val="203504C5"/>
    <w:rsid w:val="208364FC"/>
    <w:rsid w:val="208953F9"/>
    <w:rsid w:val="21014C39"/>
    <w:rsid w:val="21244EB1"/>
    <w:rsid w:val="213964D8"/>
    <w:rsid w:val="21595D04"/>
    <w:rsid w:val="21F13629"/>
    <w:rsid w:val="223236B6"/>
    <w:rsid w:val="2255462C"/>
    <w:rsid w:val="2305377E"/>
    <w:rsid w:val="23901822"/>
    <w:rsid w:val="24122135"/>
    <w:rsid w:val="24D4257E"/>
    <w:rsid w:val="2572202B"/>
    <w:rsid w:val="2605683C"/>
    <w:rsid w:val="26BB1419"/>
    <w:rsid w:val="27A2088A"/>
    <w:rsid w:val="27B748AA"/>
    <w:rsid w:val="27CB4CB9"/>
    <w:rsid w:val="281C2F58"/>
    <w:rsid w:val="29642C4B"/>
    <w:rsid w:val="2A34628C"/>
    <w:rsid w:val="2A724D05"/>
    <w:rsid w:val="2A7E505C"/>
    <w:rsid w:val="2AC85686"/>
    <w:rsid w:val="2AD04B5F"/>
    <w:rsid w:val="2BC05B2C"/>
    <w:rsid w:val="2BD617C5"/>
    <w:rsid w:val="2C112837"/>
    <w:rsid w:val="2C9B1252"/>
    <w:rsid w:val="2C9C2786"/>
    <w:rsid w:val="2CC13667"/>
    <w:rsid w:val="2E014790"/>
    <w:rsid w:val="2EE77680"/>
    <w:rsid w:val="2F2F0FC8"/>
    <w:rsid w:val="2FA70460"/>
    <w:rsid w:val="30057FE3"/>
    <w:rsid w:val="301C6BB6"/>
    <w:rsid w:val="319708F2"/>
    <w:rsid w:val="31A8260E"/>
    <w:rsid w:val="31B14C9E"/>
    <w:rsid w:val="332B149D"/>
    <w:rsid w:val="33C522D7"/>
    <w:rsid w:val="344C156B"/>
    <w:rsid w:val="34807672"/>
    <w:rsid w:val="35B06C6A"/>
    <w:rsid w:val="366149EB"/>
    <w:rsid w:val="36941AA2"/>
    <w:rsid w:val="36D37423"/>
    <w:rsid w:val="379D23F9"/>
    <w:rsid w:val="3A185287"/>
    <w:rsid w:val="3A1F46B8"/>
    <w:rsid w:val="3A692CD0"/>
    <w:rsid w:val="3AAE4AA7"/>
    <w:rsid w:val="3AF23299"/>
    <w:rsid w:val="3B270929"/>
    <w:rsid w:val="3B3D5571"/>
    <w:rsid w:val="3B673620"/>
    <w:rsid w:val="3B9A1F29"/>
    <w:rsid w:val="3CE4646B"/>
    <w:rsid w:val="3CFC1228"/>
    <w:rsid w:val="3D5E7AA8"/>
    <w:rsid w:val="3D6F2596"/>
    <w:rsid w:val="3D946587"/>
    <w:rsid w:val="405F175E"/>
    <w:rsid w:val="40C765F3"/>
    <w:rsid w:val="42C9357F"/>
    <w:rsid w:val="42F869D2"/>
    <w:rsid w:val="43186073"/>
    <w:rsid w:val="43553536"/>
    <w:rsid w:val="44972678"/>
    <w:rsid w:val="451632B9"/>
    <w:rsid w:val="45906394"/>
    <w:rsid w:val="45F60A50"/>
    <w:rsid w:val="46142D0C"/>
    <w:rsid w:val="46263A53"/>
    <w:rsid w:val="46970A81"/>
    <w:rsid w:val="46B036BF"/>
    <w:rsid w:val="46CC320F"/>
    <w:rsid w:val="47282363"/>
    <w:rsid w:val="47810C98"/>
    <w:rsid w:val="47924F0A"/>
    <w:rsid w:val="48F407FD"/>
    <w:rsid w:val="49DC4EAC"/>
    <w:rsid w:val="49E55BC5"/>
    <w:rsid w:val="4A5D0BB5"/>
    <w:rsid w:val="4A784B9A"/>
    <w:rsid w:val="4B600E77"/>
    <w:rsid w:val="4B8B4475"/>
    <w:rsid w:val="4B8F684D"/>
    <w:rsid w:val="4BF02011"/>
    <w:rsid w:val="4C1C63D6"/>
    <w:rsid w:val="4C2D52ED"/>
    <w:rsid w:val="4C864A35"/>
    <w:rsid w:val="4D207A05"/>
    <w:rsid w:val="4D53283E"/>
    <w:rsid w:val="4E015C76"/>
    <w:rsid w:val="4E310026"/>
    <w:rsid w:val="4E4A2325"/>
    <w:rsid w:val="4FC7362A"/>
    <w:rsid w:val="501A6C55"/>
    <w:rsid w:val="515B1740"/>
    <w:rsid w:val="51B14BED"/>
    <w:rsid w:val="52526454"/>
    <w:rsid w:val="525C1CEF"/>
    <w:rsid w:val="528B5767"/>
    <w:rsid w:val="52D33625"/>
    <w:rsid w:val="53A3105E"/>
    <w:rsid w:val="53C64B93"/>
    <w:rsid w:val="548A6C60"/>
    <w:rsid w:val="55B1164D"/>
    <w:rsid w:val="55B4735E"/>
    <w:rsid w:val="55BB221D"/>
    <w:rsid w:val="56371459"/>
    <w:rsid w:val="56484633"/>
    <w:rsid w:val="57FF4799"/>
    <w:rsid w:val="58D0053D"/>
    <w:rsid w:val="595A2A3C"/>
    <w:rsid w:val="598C40A0"/>
    <w:rsid w:val="59DA647E"/>
    <w:rsid w:val="5A556E1A"/>
    <w:rsid w:val="5BF92FF2"/>
    <w:rsid w:val="5C0C7CD1"/>
    <w:rsid w:val="5C924E81"/>
    <w:rsid w:val="5E2864D0"/>
    <w:rsid w:val="5E494511"/>
    <w:rsid w:val="5EB44FC0"/>
    <w:rsid w:val="5FBA395F"/>
    <w:rsid w:val="60094E5C"/>
    <w:rsid w:val="606F38F4"/>
    <w:rsid w:val="60EC2CBA"/>
    <w:rsid w:val="61CC2D28"/>
    <w:rsid w:val="635902CD"/>
    <w:rsid w:val="64706BBE"/>
    <w:rsid w:val="64F2095B"/>
    <w:rsid w:val="65A16A49"/>
    <w:rsid w:val="67A858DB"/>
    <w:rsid w:val="67FE4166"/>
    <w:rsid w:val="68C401C3"/>
    <w:rsid w:val="695848C3"/>
    <w:rsid w:val="69A833BD"/>
    <w:rsid w:val="69EF6835"/>
    <w:rsid w:val="6D566F0F"/>
    <w:rsid w:val="6D836F72"/>
    <w:rsid w:val="6DDE3DAF"/>
    <w:rsid w:val="6E3241BE"/>
    <w:rsid w:val="6EB97A9D"/>
    <w:rsid w:val="6EF10A90"/>
    <w:rsid w:val="6EFC7DED"/>
    <w:rsid w:val="6F2A7FBF"/>
    <w:rsid w:val="6FFF1868"/>
    <w:rsid w:val="715F4C2D"/>
    <w:rsid w:val="722F78FB"/>
    <w:rsid w:val="723C2F8E"/>
    <w:rsid w:val="723D67C5"/>
    <w:rsid w:val="726A5F44"/>
    <w:rsid w:val="72BF60CA"/>
    <w:rsid w:val="72F41282"/>
    <w:rsid w:val="73020973"/>
    <w:rsid w:val="733D0D32"/>
    <w:rsid w:val="73B76769"/>
    <w:rsid w:val="73D411F1"/>
    <w:rsid w:val="74A356B2"/>
    <w:rsid w:val="753811DE"/>
    <w:rsid w:val="75BE67D4"/>
    <w:rsid w:val="75C2004C"/>
    <w:rsid w:val="75C759C1"/>
    <w:rsid w:val="76281B03"/>
    <w:rsid w:val="762D64F3"/>
    <w:rsid w:val="762E20AD"/>
    <w:rsid w:val="767E7EFF"/>
    <w:rsid w:val="775B4604"/>
    <w:rsid w:val="77C067C3"/>
    <w:rsid w:val="77CF305F"/>
    <w:rsid w:val="78074939"/>
    <w:rsid w:val="785A7CE0"/>
    <w:rsid w:val="78911E31"/>
    <w:rsid w:val="78F9732D"/>
    <w:rsid w:val="7922350F"/>
    <w:rsid w:val="792B5470"/>
    <w:rsid w:val="7A2F5236"/>
    <w:rsid w:val="7A9367CB"/>
    <w:rsid w:val="7AF22571"/>
    <w:rsid w:val="7B0720CF"/>
    <w:rsid w:val="7B4C0E47"/>
    <w:rsid w:val="7B69224B"/>
    <w:rsid w:val="7BE80F25"/>
    <w:rsid w:val="7C1C35A7"/>
    <w:rsid w:val="7C45431D"/>
    <w:rsid w:val="7D25352B"/>
    <w:rsid w:val="7D3219D5"/>
    <w:rsid w:val="7DDD0501"/>
    <w:rsid w:val="7DE51372"/>
    <w:rsid w:val="7E5E590F"/>
    <w:rsid w:val="7E935AFB"/>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1"/>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1"/>
    <w:next w:val="4"/>
    <w:link w:val="22"/>
    <w:qFormat/>
    <w:uiPriority w:val="0"/>
    <w:pPr>
      <w:keepNext/>
      <w:spacing w:before="240" w:after="60"/>
      <w:outlineLvl w:val="1"/>
    </w:pPr>
    <w:rPr>
      <w:rFonts w:ascii="Helvetica" w:hAnsi="Helvetica" w:eastAsia="MS Mincho"/>
      <w:b/>
      <w:bCs/>
      <w:iCs/>
      <w:szCs w:val="28"/>
      <w:lang w:val="zh-CN"/>
    </w:rPr>
  </w:style>
  <w:style w:type="paragraph" w:styleId="5">
    <w:name w:val="heading 3"/>
    <w:basedOn w:val="1"/>
    <w:next w:val="1"/>
    <w:link w:val="49"/>
    <w:unhideWhenUsed/>
    <w:qFormat/>
    <w:uiPriority w:val="9"/>
    <w:pPr>
      <w:keepNext/>
      <w:keepLines/>
      <w:spacing w:before="260" w:after="260" w:line="416" w:lineRule="auto"/>
      <w:outlineLvl w:val="2"/>
    </w:pPr>
    <w:rPr>
      <w:b/>
      <w:bCs/>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23"/>
    <w:qFormat/>
    <w:uiPriority w:val="0"/>
    <w:pPr>
      <w:spacing w:after="120"/>
      <w:jc w:val="both"/>
    </w:pPr>
    <w:rPr>
      <w:rFonts w:eastAsia="MS Mincho"/>
      <w:lang w:val="zh-CN"/>
    </w:r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29"/>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6"/>
    <w:semiHidden/>
    <w:unhideWhenUsed/>
    <w:qFormat/>
    <w:uiPriority w:val="99"/>
    <w:pPr>
      <w:ind w:left="100" w:leftChars="2500"/>
    </w:pPr>
  </w:style>
  <w:style w:type="paragraph" w:styleId="12">
    <w:name w:val="Balloon Text"/>
    <w:basedOn w:val="1"/>
    <w:link w:val="27"/>
    <w:semiHidden/>
    <w:unhideWhenUsed/>
    <w:qFormat/>
    <w:uiPriority w:val="99"/>
    <w:rPr>
      <w:sz w:val="18"/>
      <w:szCs w:val="18"/>
      <w:lang w:val="zh-CN"/>
    </w:rPr>
  </w:style>
  <w:style w:type="paragraph" w:styleId="13">
    <w:name w:val="footer"/>
    <w:basedOn w:val="1"/>
    <w:link w:val="26"/>
    <w:unhideWhenUsed/>
    <w:qFormat/>
    <w:uiPriority w:val="99"/>
    <w:pPr>
      <w:tabs>
        <w:tab w:val="center" w:pos="4153"/>
        <w:tab w:val="right" w:pos="8306"/>
      </w:tabs>
      <w:snapToGrid w:val="0"/>
    </w:pPr>
    <w:rPr>
      <w:sz w:val="18"/>
      <w:szCs w:val="18"/>
      <w:lang w:val="zh-CN"/>
    </w:rPr>
  </w:style>
  <w:style w:type="paragraph" w:styleId="14">
    <w:name w:val="header"/>
    <w:basedOn w:val="1"/>
    <w:link w:val="24"/>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semiHidden/>
    <w:qFormat/>
    <w:uiPriority w:val="0"/>
  </w:style>
  <w:style w:type="character" w:styleId="20">
    <w:name w:val="Hyperlink"/>
    <w:qFormat/>
    <w:uiPriority w:val="99"/>
    <w:rPr>
      <w:color w:val="0000FF"/>
      <w:u w:val="single"/>
    </w:rPr>
  </w:style>
  <w:style w:type="character" w:customStyle="1" w:styleId="21">
    <w:name w:val="Heading 1 Char"/>
    <w:link w:val="2"/>
    <w:qFormat/>
    <w:uiPriority w:val="0"/>
    <w:rPr>
      <w:rFonts w:ascii="Helvetica" w:hAnsi="Helvetica" w:eastAsia="MS Mincho" w:cs="Times New Roman"/>
      <w:b/>
      <w:bCs/>
      <w:kern w:val="32"/>
      <w:sz w:val="28"/>
      <w:szCs w:val="32"/>
      <w:lang w:val="zh-CN" w:eastAsia="en-US"/>
    </w:rPr>
  </w:style>
  <w:style w:type="character" w:customStyle="1" w:styleId="22">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3">
    <w:name w:val="Body Text Char"/>
    <w:link w:val="4"/>
    <w:qFormat/>
    <w:uiPriority w:val="0"/>
    <w:rPr>
      <w:rFonts w:ascii="Times New Roman" w:hAnsi="Times New Roman" w:eastAsia="MS Mincho" w:cs="Times New Roman"/>
      <w:kern w:val="0"/>
      <w:sz w:val="20"/>
      <w:szCs w:val="24"/>
      <w:lang w:val="zh-CN" w:eastAsia="en-US"/>
    </w:rPr>
  </w:style>
  <w:style w:type="character" w:customStyle="1" w:styleId="24">
    <w:name w:val="Header Char"/>
    <w:link w:val="14"/>
    <w:qFormat/>
    <w:uiPriority w:val="0"/>
    <w:rPr>
      <w:rFonts w:ascii="Arial" w:hAnsi="Arial" w:eastAsia="MS Mincho" w:cs="Times New Roman"/>
      <w:b/>
      <w:kern w:val="0"/>
      <w:sz w:val="20"/>
      <w:szCs w:val="24"/>
      <w:lang w:val="zh-CN" w:eastAsia="en-US"/>
    </w:rPr>
  </w:style>
  <w:style w:type="paragraph" w:customStyle="1" w:styleId="25">
    <w:name w:val="Paragraphe de liste"/>
    <w:basedOn w:val="1"/>
    <w:qFormat/>
    <w:uiPriority w:val="34"/>
    <w:pPr>
      <w:ind w:left="720"/>
    </w:pPr>
    <w:rPr>
      <w:rFonts w:eastAsia="宋体"/>
      <w:sz w:val="24"/>
      <w:lang w:val="fr-FR" w:eastAsia="zh-CN"/>
    </w:rPr>
  </w:style>
  <w:style w:type="character" w:customStyle="1" w:styleId="26">
    <w:name w:val="Footer Char"/>
    <w:link w:val="13"/>
    <w:qFormat/>
    <w:uiPriority w:val="99"/>
    <w:rPr>
      <w:rFonts w:ascii="Times New Roman" w:hAnsi="Times New Roman" w:eastAsia="Times New Roman" w:cs="Times New Roman"/>
      <w:kern w:val="0"/>
      <w:sz w:val="18"/>
      <w:szCs w:val="18"/>
      <w:lang w:eastAsia="en-US"/>
    </w:rPr>
  </w:style>
  <w:style w:type="character" w:customStyle="1" w:styleId="27">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8">
    <w:name w:val="List Paragraph"/>
    <w:basedOn w:val="1"/>
    <w:link w:val="44"/>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9">
    <w:name w:val="Document Map Char"/>
    <w:link w:val="7"/>
    <w:semiHidden/>
    <w:qFormat/>
    <w:uiPriority w:val="99"/>
    <w:rPr>
      <w:rFonts w:ascii="宋体" w:hAnsi="Times New Roman"/>
      <w:sz w:val="18"/>
      <w:szCs w:val="18"/>
      <w:lang w:eastAsia="en-US"/>
    </w:rPr>
  </w:style>
  <w:style w:type="paragraph" w:customStyle="1" w:styleId="30">
    <w:name w:val="B1"/>
    <w:basedOn w:val="10"/>
    <w:link w:val="31"/>
    <w:qFormat/>
    <w:uiPriority w:val="0"/>
    <w:pPr>
      <w:spacing w:after="180"/>
      <w:ind w:left="568" w:hanging="284" w:firstLineChars="0"/>
      <w:contextualSpacing w:val="0"/>
    </w:pPr>
    <w:rPr>
      <w:rFonts w:eastAsia="宋体"/>
      <w:szCs w:val="20"/>
      <w:lang w:val="en-GB"/>
    </w:rPr>
  </w:style>
  <w:style w:type="character" w:customStyle="1" w:styleId="31">
    <w:name w:val="B1 (文字)"/>
    <w:link w:val="30"/>
    <w:qFormat/>
    <w:locked/>
    <w:uiPriority w:val="0"/>
    <w:rPr>
      <w:rFonts w:ascii="Times New Roman" w:hAnsi="Times New Roman"/>
      <w:lang w:val="en-GB" w:eastAsia="en-US"/>
    </w:rPr>
  </w:style>
  <w:style w:type="character" w:customStyle="1" w:styleId="32">
    <w:name w:val="B1 Char1"/>
    <w:qFormat/>
    <w:uiPriority w:val="0"/>
    <w:rPr>
      <w:lang w:val="en-GB" w:eastAsia="en-US"/>
    </w:rPr>
  </w:style>
  <w:style w:type="paragraph" w:customStyle="1" w:styleId="33">
    <w:name w:val="TAH"/>
    <w:basedOn w:val="34"/>
    <w:link w:val="39"/>
    <w:qFormat/>
    <w:uiPriority w:val="0"/>
    <w:rPr>
      <w:b/>
    </w:rPr>
  </w:style>
  <w:style w:type="paragraph" w:customStyle="1" w:styleId="34">
    <w:name w:val="TAC"/>
    <w:basedOn w:val="35"/>
    <w:link w:val="38"/>
    <w:qFormat/>
    <w:uiPriority w:val="0"/>
    <w:pPr>
      <w:keepNext/>
      <w:keepLines/>
      <w:jc w:val="center"/>
    </w:pPr>
    <w:rPr>
      <w:rFonts w:ascii="Arial" w:hAnsi="Arial" w:eastAsia="宋体"/>
      <w:sz w:val="18"/>
      <w:szCs w:val="20"/>
      <w:lang w:val="en-GB" w:eastAsia="zh-CN"/>
    </w:rPr>
  </w:style>
  <w:style w:type="paragraph" w:customStyle="1" w:styleId="35">
    <w:name w:val="TAL"/>
    <w:basedOn w:val="1"/>
    <w:link w:val="48"/>
    <w:qFormat/>
    <w:uiPriority w:val="0"/>
    <w:pPr>
      <w:keepNext/>
      <w:keepLines/>
    </w:pPr>
    <w:rPr>
      <w:rFonts w:ascii="Arial" w:hAnsi="Arial" w:eastAsia="宋体"/>
      <w:sz w:val="18"/>
      <w:szCs w:val="20"/>
      <w:lang w:val="en-GB"/>
    </w:rPr>
  </w:style>
  <w:style w:type="paragraph" w:customStyle="1" w:styleId="36">
    <w:name w:val="TH"/>
    <w:basedOn w:val="1"/>
    <w:link w:val="37"/>
    <w:qFormat/>
    <w:uiPriority w:val="0"/>
    <w:pPr>
      <w:keepNext/>
      <w:keepLines/>
      <w:spacing w:before="60" w:after="180"/>
      <w:jc w:val="center"/>
    </w:pPr>
    <w:rPr>
      <w:rFonts w:ascii="Arial" w:hAnsi="Arial" w:eastAsia="宋体"/>
      <w:b/>
      <w:szCs w:val="20"/>
      <w:lang w:val="en-GB" w:eastAsia="zh-CN"/>
    </w:rPr>
  </w:style>
  <w:style w:type="character" w:customStyle="1" w:styleId="37">
    <w:name w:val="TH Char"/>
    <w:link w:val="36"/>
    <w:qFormat/>
    <w:uiPriority w:val="0"/>
    <w:rPr>
      <w:rFonts w:ascii="Arial" w:hAnsi="Arial" w:eastAsia="宋体"/>
      <w:b/>
      <w:lang w:val="en-GB" w:eastAsia="zh-CN"/>
    </w:rPr>
  </w:style>
  <w:style w:type="character" w:customStyle="1" w:styleId="38">
    <w:name w:val="TAC Char"/>
    <w:link w:val="34"/>
    <w:qFormat/>
    <w:uiPriority w:val="0"/>
    <w:rPr>
      <w:rFonts w:ascii="Arial" w:hAnsi="Arial" w:eastAsia="宋体"/>
      <w:sz w:val="18"/>
      <w:lang w:val="en-GB" w:eastAsia="zh-CN"/>
    </w:rPr>
  </w:style>
  <w:style w:type="character" w:customStyle="1" w:styleId="39">
    <w:name w:val="TAH Car"/>
    <w:link w:val="33"/>
    <w:qFormat/>
    <w:uiPriority w:val="0"/>
    <w:rPr>
      <w:rFonts w:ascii="Arial" w:hAnsi="Arial" w:eastAsia="宋体"/>
      <w:b/>
      <w:sz w:val="18"/>
      <w:lang w:val="en-GB" w:eastAsia="zh-CN"/>
    </w:rPr>
  </w:style>
  <w:style w:type="paragraph" w:customStyle="1" w:styleId="4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1">
    <w:name w:val="TAR"/>
    <w:basedOn w:val="1"/>
    <w:qFormat/>
    <w:uiPriority w:val="0"/>
    <w:pPr>
      <w:keepNext/>
      <w:keepLines/>
      <w:jc w:val="right"/>
    </w:pPr>
    <w:rPr>
      <w:rFonts w:ascii="Arial" w:hAnsi="Arial" w:eastAsia="宋体"/>
      <w:sz w:val="18"/>
      <w:szCs w:val="20"/>
      <w:lang w:val="en-GB"/>
    </w:rPr>
  </w:style>
  <w:style w:type="paragraph" w:customStyle="1" w:styleId="42">
    <w:name w:val="RAN4 proposal"/>
    <w:basedOn w:val="6"/>
    <w:next w:val="1"/>
    <w:link w:val="43"/>
    <w:qFormat/>
    <w:uiPriority w:val="0"/>
    <w:pPr>
      <w:numPr>
        <w:ilvl w:val="0"/>
        <w:numId w:val="2"/>
      </w:numPr>
      <w:spacing w:after="200"/>
      <w:ind w:left="0" w:firstLine="0"/>
    </w:pPr>
    <w:rPr>
      <w:rFonts w:ascii="Times New Roman" w:hAnsi="Times New Roman" w:eastAsia="宋体"/>
      <w:b/>
      <w:iCs/>
      <w:szCs w:val="18"/>
    </w:rPr>
  </w:style>
  <w:style w:type="character" w:customStyle="1" w:styleId="43">
    <w:name w:val="RAN4 proposal Char"/>
    <w:link w:val="42"/>
    <w:qFormat/>
    <w:uiPriority w:val="0"/>
    <w:rPr>
      <w:rFonts w:ascii="Times New Roman" w:hAnsi="Times New Roman"/>
      <w:b/>
      <w:iCs/>
      <w:szCs w:val="18"/>
      <w:lang w:eastAsia="en-US"/>
    </w:rPr>
  </w:style>
  <w:style w:type="character" w:customStyle="1" w:styleId="44">
    <w:name w:val="List Paragraph Char"/>
    <w:link w:val="28"/>
    <w:qFormat/>
    <w:uiPriority w:val="34"/>
    <w:rPr>
      <w:kern w:val="2"/>
      <w:sz w:val="21"/>
      <w:szCs w:val="22"/>
    </w:rPr>
  </w:style>
  <w:style w:type="character" w:customStyle="1" w:styleId="45">
    <w:name w:val="ZGSM"/>
    <w:qFormat/>
    <w:uiPriority w:val="0"/>
  </w:style>
  <w:style w:type="character" w:customStyle="1" w:styleId="46">
    <w:name w:val="Date Char"/>
    <w:link w:val="11"/>
    <w:semiHidden/>
    <w:qFormat/>
    <w:uiPriority w:val="99"/>
    <w:rPr>
      <w:rFonts w:ascii="Times New Roman" w:hAnsi="Times New Roman" w:eastAsia="Times New Roman"/>
      <w:szCs w:val="24"/>
      <w:lang w:eastAsia="en-US"/>
    </w:rPr>
  </w:style>
  <w:style w:type="paragraph" w:customStyle="1" w:styleId="47">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8">
    <w:name w:val="TAL Char"/>
    <w:link w:val="35"/>
    <w:qFormat/>
    <w:uiPriority w:val="0"/>
    <w:rPr>
      <w:rFonts w:ascii="Arial" w:hAnsi="Arial"/>
      <w:sz w:val="18"/>
      <w:lang w:val="en-GB" w:eastAsia="en-US"/>
    </w:rPr>
  </w:style>
  <w:style w:type="character" w:customStyle="1" w:styleId="49">
    <w:name w:val="Heading 3 Char"/>
    <w:link w:val="5"/>
    <w:qFormat/>
    <w:uiPriority w:val="9"/>
    <w:rPr>
      <w:rFonts w:ascii="Times New Roman" w:hAnsi="Times New Roman" w:eastAsia="Times New Roman"/>
      <w:b/>
      <w:bCs/>
      <w:sz w:val="32"/>
      <w:szCs w:val="32"/>
      <w:lang w:eastAsia="en-US"/>
    </w:rPr>
  </w:style>
  <w:style w:type="character" w:customStyle="1" w:styleId="50">
    <w:name w:val="TAL Car"/>
    <w:qFormat/>
    <w:uiPriority w:val="0"/>
    <w:rPr>
      <w:rFonts w:ascii="Arial" w:hAnsi="Arial" w:eastAsia="Times New Roman" w:cs="Times New Roman"/>
      <w:kern w:val="0"/>
      <w:sz w:val="18"/>
      <w:szCs w:val="20"/>
      <w:lang w:val="en-GB" w:eastAsia="ko-KR"/>
    </w:rPr>
  </w:style>
  <w:style w:type="paragraph" w:customStyle="1" w:styleId="51">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2">
    <w:name w:val="TAN"/>
    <w:basedOn w:val="35"/>
    <w:qFormat/>
    <w:uiPriority w:val="0"/>
    <w:pPr>
      <w:ind w:left="851" w:hanging="851"/>
    </w:pPr>
  </w:style>
  <w:style w:type="character" w:customStyle="1" w:styleId="53">
    <w:name w:val="normaltextrun"/>
    <w:basedOn w:val="18"/>
    <w:qFormat/>
    <w:uiPriority w:val="0"/>
  </w:style>
  <w:style w:type="character" w:customStyle="1" w:styleId="54">
    <w:name w:val="eop"/>
    <w:basedOn w:val="18"/>
    <w:qFormat/>
    <w:uiPriority w:val="0"/>
  </w:style>
  <w:style w:type="paragraph" w:customStyle="1" w:styleId="55">
    <w:name w:val="paragraph"/>
    <w:basedOn w:val="1"/>
    <w:qFormat/>
    <w:uiPriority w:val="0"/>
    <w:pPr>
      <w:spacing w:before="100" w:beforeAutospacing="1" w:after="100" w:afterAutospacing="1"/>
    </w:pPr>
    <w:rPr>
      <w:rFonts w:eastAsia="Times New Roman"/>
      <w:sz w:val="24"/>
      <w:szCs w:val="24"/>
    </w:rPr>
  </w:style>
  <w:style w:type="paragraph" w:customStyle="1" w:styleId="56">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0</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Chenchen from ZTE</cp:lastModifiedBy>
  <cp:lastPrinted>2015-02-02T11:17:00Z</cp:lastPrinted>
  <dcterms:modified xsi:type="dcterms:W3CDTF">2023-02-17T12:44:39Z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